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宋体" w:hAnsi="宋体" w:eastAsia="宋体" w:cs="宋体"/>
          <w:b/>
          <w:i w:val="0"/>
          <w:caps w:val="0"/>
          <w:color w:val="000000"/>
          <w:spacing w:val="0"/>
          <w:sz w:val="24"/>
          <w:szCs w:val="24"/>
        </w:rPr>
      </w:pPr>
      <w:r>
        <w:rPr>
          <w:rFonts w:hint="eastAsia" w:ascii="宋体" w:hAnsi="宋体" w:eastAsia="宋体" w:cs="宋体"/>
          <w:b/>
          <w:i w:val="0"/>
          <w:caps w:val="0"/>
          <w:color w:val="000000"/>
          <w:spacing w:val="0"/>
          <w:sz w:val="24"/>
          <w:szCs w:val="24"/>
          <w:bdr w:val="none" w:color="auto" w:sz="0" w:space="0"/>
        </w:rPr>
        <w:t>国家发展改革委办公厅关于做好中央投资项目招标代理资格日常管理工作的通知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sz w:val="18"/>
          <w:szCs w:val="18"/>
          <w:bdr w:val="none" w:color="auto" w:sz="0" w:space="0"/>
        </w:rPr>
        <w:t>发布时间：2010-09-08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eastAsia" w:ascii="宋体" w:hAnsi="宋体" w:eastAsia="宋体" w:cs="宋体"/>
          <w:i w:val="0"/>
          <w:caps w:val="0"/>
          <w:color w:val="000000"/>
          <w:spacing w:val="0"/>
          <w:kern w:val="0"/>
          <w:sz w:val="19"/>
          <w:szCs w:val="19"/>
          <w:bdr w:val="none" w:color="auto" w:sz="0" w:space="0"/>
          <w:lang w:val="en-US" w:eastAsia="zh-CN" w:bidi="ar"/>
        </w:rPr>
        <w:t>发改办投资</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[2008]2354</w:t>
      </w:r>
      <w:r>
        <w:rPr>
          <w:rFonts w:hint="eastAsia" w:ascii="宋体" w:hAnsi="宋体" w:eastAsia="宋体" w:cs="宋体"/>
          <w:i w:val="0"/>
          <w:caps w:val="0"/>
          <w:color w:val="000000"/>
          <w:spacing w:val="0"/>
          <w:kern w:val="0"/>
          <w:sz w:val="19"/>
          <w:szCs w:val="19"/>
          <w:bdr w:val="none" w:color="auto" w:sz="0" w:space="0"/>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eastAsia" w:ascii="宋体" w:hAnsi="宋体" w:eastAsia="宋体" w:cs="宋体"/>
          <w:i w:val="0"/>
          <w:caps w:val="0"/>
          <w:color w:val="000000"/>
          <w:spacing w:val="0"/>
          <w:kern w:val="0"/>
          <w:sz w:val="19"/>
          <w:szCs w:val="19"/>
          <w:bdr w:val="none" w:color="auto" w:sz="0" w:space="0"/>
          <w:lang w:val="en-US" w:eastAsia="zh-CN" w:bidi="ar"/>
        </w:rPr>
        <w:t>各省、自治区、直辖市及计划单列市、新疆生产建设兵团发展改革委：</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为进一步加强中央投资项目招标代理机构的日常管理，根据国家发展改革委第</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36</w:t>
      </w:r>
      <w:r>
        <w:rPr>
          <w:rFonts w:hint="eastAsia" w:ascii="宋体" w:hAnsi="宋体" w:eastAsia="宋体" w:cs="宋体"/>
          <w:i w:val="0"/>
          <w:caps w:val="0"/>
          <w:color w:val="000000"/>
          <w:spacing w:val="0"/>
          <w:kern w:val="0"/>
          <w:sz w:val="19"/>
          <w:szCs w:val="19"/>
          <w:bdr w:val="none" w:color="auto" w:sz="0" w:space="0"/>
          <w:lang w:val="en-US" w:eastAsia="zh-CN" w:bidi="ar"/>
        </w:rPr>
        <w:t>号令，现就有关事项和规定明确如下：</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Style w:val="6"/>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Style w:val="6"/>
          <w:rFonts w:hint="eastAsia" w:ascii="宋体" w:hAnsi="宋体" w:eastAsia="宋体" w:cs="宋体"/>
          <w:i w:val="0"/>
          <w:caps w:val="0"/>
          <w:color w:val="000000"/>
          <w:spacing w:val="0"/>
          <w:kern w:val="0"/>
          <w:sz w:val="19"/>
          <w:szCs w:val="19"/>
          <w:bdr w:val="none" w:color="auto" w:sz="0" w:space="0"/>
          <w:lang w:val="en-US" w:eastAsia="zh-CN" w:bidi="ar"/>
        </w:rPr>
        <w:t>一、建立中央投资项目招标资料管理制度</w:t>
      </w:r>
      <w:r>
        <w:rPr>
          <w:rStyle w:val="6"/>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中央投资项目招标代理机构应建立完善的招标资料管理制度，妥善保管中央投资项目的招标资料。</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（一）招标资料包括：招标公告复印件、资格预审文件、招标文件、中标人的投标文件、评标报告、中标通知书及其它相关材料；</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（二）已完成招标工作的中央投资项目，其招标资料应及时归档、妥善保存；</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（三）每个中央投资项目的招标资料应至少保存</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5</w:t>
      </w:r>
      <w:r>
        <w:rPr>
          <w:rFonts w:hint="eastAsia" w:ascii="宋体" w:hAnsi="宋体" w:eastAsia="宋体" w:cs="宋体"/>
          <w:i w:val="0"/>
          <w:caps w:val="0"/>
          <w:color w:val="000000"/>
          <w:spacing w:val="0"/>
          <w:kern w:val="0"/>
          <w:sz w:val="19"/>
          <w:szCs w:val="19"/>
          <w:bdr w:val="none" w:color="auto" w:sz="0" w:space="0"/>
          <w:lang w:val="en-US" w:eastAsia="zh-CN" w:bidi="ar"/>
        </w:rPr>
        <w:t>年；</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（四）招标代理机构应配合有关部门对中央投资项目招标情况的监督检查，提供相关招标资料。</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Style w:val="6"/>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Style w:val="6"/>
          <w:rFonts w:hint="eastAsia" w:ascii="宋体" w:hAnsi="宋体" w:eastAsia="宋体" w:cs="宋体"/>
          <w:i w:val="0"/>
          <w:caps w:val="0"/>
          <w:color w:val="000000"/>
          <w:spacing w:val="0"/>
          <w:kern w:val="0"/>
          <w:sz w:val="19"/>
          <w:szCs w:val="19"/>
          <w:bdr w:val="none" w:color="auto" w:sz="0" w:space="0"/>
          <w:lang w:val="en-US" w:eastAsia="zh-CN" w:bidi="ar"/>
        </w:rPr>
        <w:t>二、加强年度资格检查</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（一）各中央投资项目招标代理机构，应在每年</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2</w:t>
      </w:r>
      <w:r>
        <w:rPr>
          <w:rFonts w:hint="eastAsia" w:ascii="宋体" w:hAnsi="宋体" w:eastAsia="宋体" w:cs="宋体"/>
          <w:i w:val="0"/>
          <w:caps w:val="0"/>
          <w:color w:val="000000"/>
          <w:spacing w:val="0"/>
          <w:kern w:val="0"/>
          <w:sz w:val="19"/>
          <w:szCs w:val="19"/>
          <w:bdr w:val="none" w:color="auto" w:sz="0" w:space="0"/>
          <w:lang w:val="en-US" w:eastAsia="zh-CN" w:bidi="ar"/>
        </w:rPr>
        <w:t>月</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28</w:t>
      </w:r>
      <w:r>
        <w:rPr>
          <w:rFonts w:hint="eastAsia" w:ascii="宋体" w:hAnsi="宋体" w:eastAsia="宋体" w:cs="宋体"/>
          <w:i w:val="0"/>
          <w:caps w:val="0"/>
          <w:color w:val="000000"/>
          <w:spacing w:val="0"/>
          <w:kern w:val="0"/>
          <w:sz w:val="19"/>
          <w:szCs w:val="19"/>
          <w:bdr w:val="none" w:color="auto" w:sz="0" w:space="0"/>
          <w:lang w:val="en-US" w:eastAsia="zh-CN" w:bidi="ar"/>
        </w:rPr>
        <w:t>日前，向我委投资司报送年检材料。</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（二）年检材料包括：</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1</w:t>
      </w:r>
      <w:r>
        <w:rPr>
          <w:rFonts w:hint="eastAsia" w:ascii="宋体" w:hAnsi="宋体" w:eastAsia="宋体" w:cs="宋体"/>
          <w:i w:val="0"/>
          <w:caps w:val="0"/>
          <w:color w:val="000000"/>
          <w:spacing w:val="0"/>
          <w:kern w:val="0"/>
          <w:sz w:val="19"/>
          <w:szCs w:val="19"/>
          <w:bdr w:val="none" w:color="auto" w:sz="0" w:space="0"/>
          <w:lang w:val="en-US" w:eastAsia="zh-CN" w:bidi="ar"/>
        </w:rPr>
        <w:t>、招标代理机构年度情况报告。包括招标代理机构年度基本情况，招标从业人员情况表（附件一），招标项目年度汇总表（附件二），企业财务状况（年检当年的财务报告及上一年度经审计的财务报表）等。</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2</w:t>
      </w:r>
      <w:r>
        <w:rPr>
          <w:rFonts w:hint="eastAsia" w:ascii="宋体" w:hAnsi="宋体" w:eastAsia="宋体" w:cs="宋体"/>
          <w:i w:val="0"/>
          <w:caps w:val="0"/>
          <w:color w:val="000000"/>
          <w:spacing w:val="0"/>
          <w:kern w:val="0"/>
          <w:sz w:val="19"/>
          <w:szCs w:val="19"/>
          <w:bdr w:val="none" w:color="auto" w:sz="0" w:space="0"/>
          <w:lang w:val="en-US" w:eastAsia="zh-CN" w:bidi="ar"/>
        </w:rPr>
        <w:t>、机构设置变化情况。包括成立或撤并与招标代理业务有关的子公司、分公司、办事处等分支机构及内部业务部门。</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3</w:t>
      </w:r>
      <w:r>
        <w:rPr>
          <w:rFonts w:hint="eastAsia" w:ascii="宋体" w:hAnsi="宋体" w:eastAsia="宋体" w:cs="宋体"/>
          <w:i w:val="0"/>
          <w:caps w:val="0"/>
          <w:color w:val="000000"/>
          <w:spacing w:val="0"/>
          <w:kern w:val="0"/>
          <w:sz w:val="19"/>
          <w:szCs w:val="19"/>
          <w:bdr w:val="none" w:color="auto" w:sz="0" w:space="0"/>
          <w:lang w:val="en-US" w:eastAsia="zh-CN" w:bidi="ar"/>
        </w:rPr>
        <w:t>、受处罚及质疑、投诉情况。包括处罚的机关、时间、问题和结果等，事实成立的有效质疑、投诉的时间和处理结果等，并提供相应处罚文件和证明材料。若无上述情况，则应提供相应声明。</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4</w:t>
      </w:r>
      <w:r>
        <w:rPr>
          <w:rFonts w:hint="eastAsia" w:ascii="宋体" w:hAnsi="宋体" w:eastAsia="宋体" w:cs="宋体"/>
          <w:i w:val="0"/>
          <w:caps w:val="0"/>
          <w:color w:val="000000"/>
          <w:spacing w:val="0"/>
          <w:kern w:val="0"/>
          <w:sz w:val="19"/>
          <w:szCs w:val="19"/>
          <w:bdr w:val="none" w:color="auto" w:sz="0" w:space="0"/>
          <w:lang w:val="en-US" w:eastAsia="zh-CN" w:bidi="ar"/>
        </w:rPr>
        <w:t>、省级发展改革委的初审意见。</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（三）我委投资司将组织专家委员会，依据各招标代理机构的年检上报材料、质疑和投诉记录，以及年度中报送的项目招标情况报告，进行评审。</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（四）根据国家发展改革委</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36</w:t>
      </w:r>
      <w:r>
        <w:rPr>
          <w:rFonts w:hint="eastAsia" w:ascii="宋体" w:hAnsi="宋体" w:eastAsia="宋体" w:cs="宋体"/>
          <w:i w:val="0"/>
          <w:caps w:val="0"/>
          <w:color w:val="000000"/>
          <w:spacing w:val="0"/>
          <w:kern w:val="0"/>
          <w:sz w:val="19"/>
          <w:szCs w:val="19"/>
          <w:bdr w:val="none" w:color="auto" w:sz="0" w:space="0"/>
          <w:lang w:val="en-US" w:eastAsia="zh-CN" w:bidi="ar"/>
        </w:rPr>
        <w:t>号令，有下列情况之一的，为年检不合格：</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1</w:t>
      </w:r>
      <w:r>
        <w:rPr>
          <w:rFonts w:hint="eastAsia" w:ascii="宋体" w:hAnsi="宋体" w:eastAsia="宋体" w:cs="宋体"/>
          <w:i w:val="0"/>
          <w:caps w:val="0"/>
          <w:color w:val="000000"/>
          <w:spacing w:val="0"/>
          <w:kern w:val="0"/>
          <w:sz w:val="19"/>
          <w:szCs w:val="19"/>
          <w:bdr w:val="none" w:color="auto" w:sz="0" w:space="0"/>
          <w:lang w:val="en-US" w:eastAsia="zh-CN" w:bidi="ar"/>
        </w:rPr>
        <w:t>、年度中有严重违规行为；</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2</w:t>
      </w:r>
      <w:r>
        <w:rPr>
          <w:rFonts w:hint="eastAsia" w:ascii="宋体" w:hAnsi="宋体" w:eastAsia="宋体" w:cs="宋体"/>
          <w:i w:val="0"/>
          <w:caps w:val="0"/>
          <w:color w:val="000000"/>
          <w:spacing w:val="0"/>
          <w:kern w:val="0"/>
          <w:sz w:val="19"/>
          <w:szCs w:val="19"/>
          <w:bdr w:val="none" w:color="auto" w:sz="0" w:space="0"/>
          <w:lang w:val="en-US" w:eastAsia="zh-CN" w:bidi="ar"/>
        </w:rPr>
        <w:t>、未能按时合规报送《中央投资项目招标情况报告》和年检材料；</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3</w:t>
      </w:r>
      <w:r>
        <w:rPr>
          <w:rFonts w:hint="eastAsia" w:ascii="宋体" w:hAnsi="宋体" w:eastAsia="宋体" w:cs="宋体"/>
          <w:i w:val="0"/>
          <w:caps w:val="0"/>
          <w:color w:val="000000"/>
          <w:spacing w:val="0"/>
          <w:kern w:val="0"/>
          <w:sz w:val="19"/>
          <w:szCs w:val="19"/>
          <w:bdr w:val="none" w:color="auto" w:sz="0" w:space="0"/>
          <w:lang w:val="en-US" w:eastAsia="zh-CN" w:bidi="ar"/>
        </w:rPr>
        <w:t>、甲级招标代理机构年度招标业绩达不到</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10</w:t>
      </w:r>
      <w:r>
        <w:rPr>
          <w:rFonts w:hint="eastAsia" w:ascii="宋体" w:hAnsi="宋体" w:eastAsia="宋体" w:cs="宋体"/>
          <w:i w:val="0"/>
          <w:caps w:val="0"/>
          <w:color w:val="000000"/>
          <w:spacing w:val="0"/>
          <w:kern w:val="0"/>
          <w:sz w:val="19"/>
          <w:szCs w:val="19"/>
          <w:bdr w:val="none" w:color="auto" w:sz="0" w:space="0"/>
          <w:lang w:val="en-US" w:eastAsia="zh-CN" w:bidi="ar"/>
        </w:rPr>
        <w:t>亿元人民币；</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4</w:t>
      </w:r>
      <w:r>
        <w:rPr>
          <w:rFonts w:hint="eastAsia" w:ascii="宋体" w:hAnsi="宋体" w:eastAsia="宋体" w:cs="宋体"/>
          <w:i w:val="0"/>
          <w:caps w:val="0"/>
          <w:color w:val="000000"/>
          <w:spacing w:val="0"/>
          <w:kern w:val="0"/>
          <w:sz w:val="19"/>
          <w:szCs w:val="19"/>
          <w:bdr w:val="none" w:color="auto" w:sz="0" w:space="0"/>
          <w:lang w:val="en-US" w:eastAsia="zh-CN" w:bidi="ar"/>
        </w:rPr>
        <w:t>、乙级招标代理机构年度招标业绩达不到</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5</w:t>
      </w:r>
      <w:r>
        <w:rPr>
          <w:rFonts w:hint="eastAsia" w:ascii="宋体" w:hAnsi="宋体" w:eastAsia="宋体" w:cs="宋体"/>
          <w:i w:val="0"/>
          <w:caps w:val="0"/>
          <w:color w:val="000000"/>
          <w:spacing w:val="0"/>
          <w:kern w:val="0"/>
          <w:sz w:val="19"/>
          <w:szCs w:val="19"/>
          <w:bdr w:val="none" w:color="auto" w:sz="0" w:space="0"/>
          <w:lang w:val="en-US" w:eastAsia="zh-CN" w:bidi="ar"/>
        </w:rPr>
        <w:t>亿元人民币。</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连续</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2</w:t>
      </w:r>
      <w:r>
        <w:rPr>
          <w:rFonts w:hint="eastAsia" w:ascii="宋体" w:hAnsi="宋体" w:eastAsia="宋体" w:cs="宋体"/>
          <w:i w:val="0"/>
          <w:caps w:val="0"/>
          <w:color w:val="000000"/>
          <w:spacing w:val="0"/>
          <w:kern w:val="0"/>
          <w:sz w:val="19"/>
          <w:szCs w:val="19"/>
          <w:bdr w:val="none" w:color="auto" w:sz="0" w:space="0"/>
          <w:lang w:val="en-US" w:eastAsia="zh-CN" w:bidi="ar"/>
        </w:rPr>
        <w:t>年年检不合格的招标代理机构，予以降级处理直至取消招标代理机构资格。</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（五）年检时，将根据各招标代理机构报送的中央投资项目招标情况报告，按资格等级分别排出中央投资项目招标代理业绩前十名的机构。</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（六）年检结果确定后，将以适当方式向社会公布。</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Style w:val="6"/>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Style w:val="6"/>
          <w:rFonts w:hint="eastAsia" w:ascii="宋体" w:hAnsi="宋体" w:eastAsia="宋体" w:cs="宋体"/>
          <w:i w:val="0"/>
          <w:caps w:val="0"/>
          <w:color w:val="000000"/>
          <w:spacing w:val="0"/>
          <w:kern w:val="0"/>
          <w:sz w:val="19"/>
          <w:szCs w:val="19"/>
          <w:bdr w:val="none" w:color="auto" w:sz="0" w:space="0"/>
          <w:lang w:val="en-US" w:eastAsia="zh-CN" w:bidi="ar"/>
        </w:rPr>
        <w:t>三、做好资格证书的变更和换证工作</w:t>
      </w:r>
      <w:r>
        <w:rPr>
          <w:rStyle w:val="6"/>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（一）招标代理机构发生分立、合并等重大变化时，应在</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30</w:t>
      </w:r>
      <w:r>
        <w:rPr>
          <w:rFonts w:hint="eastAsia" w:ascii="宋体" w:hAnsi="宋体" w:eastAsia="宋体" w:cs="宋体"/>
          <w:i w:val="0"/>
          <w:caps w:val="0"/>
          <w:color w:val="000000"/>
          <w:spacing w:val="0"/>
          <w:kern w:val="0"/>
          <w:sz w:val="19"/>
          <w:szCs w:val="19"/>
          <w:bdr w:val="none" w:color="auto" w:sz="0" w:space="0"/>
          <w:lang w:val="en-US" w:eastAsia="zh-CN" w:bidi="ar"/>
        </w:rPr>
        <w:t>个工作日内将资格证书的正本、副本交回我委投资司，重新提出资格申请。</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（二）招标代理机构非因分立、合并等原因发生机构名称、企业住所、营业执照注册号、注册资金、法定代表人变更的，应当在工商部门变更手续完毕后</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30</w:t>
      </w:r>
      <w:r>
        <w:rPr>
          <w:rFonts w:hint="eastAsia" w:ascii="宋体" w:hAnsi="宋体" w:eastAsia="宋体" w:cs="宋体"/>
          <w:i w:val="0"/>
          <w:caps w:val="0"/>
          <w:color w:val="000000"/>
          <w:spacing w:val="0"/>
          <w:kern w:val="0"/>
          <w:sz w:val="19"/>
          <w:szCs w:val="19"/>
          <w:bdr w:val="none" w:color="auto" w:sz="0" w:space="0"/>
          <w:lang w:val="en-US" w:eastAsia="zh-CN" w:bidi="ar"/>
        </w:rPr>
        <w:t>个工作日内，向我委投资司提出证书变更申请，并提交有关变更证明材料。</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（三）变更证明材料包括：</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1</w:t>
      </w:r>
      <w:r>
        <w:rPr>
          <w:rFonts w:hint="eastAsia" w:ascii="宋体" w:hAnsi="宋体" w:eastAsia="宋体" w:cs="宋体"/>
          <w:i w:val="0"/>
          <w:caps w:val="0"/>
          <w:color w:val="000000"/>
          <w:spacing w:val="0"/>
          <w:kern w:val="0"/>
          <w:sz w:val="19"/>
          <w:szCs w:val="19"/>
          <w:bdr w:val="none" w:color="auto" w:sz="0" w:space="0"/>
          <w:lang w:val="en-US" w:eastAsia="zh-CN" w:bidi="ar"/>
        </w:rPr>
        <w:t>、资格证书正本和副本原件；</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2</w:t>
      </w:r>
      <w:r>
        <w:rPr>
          <w:rFonts w:hint="eastAsia" w:ascii="宋体" w:hAnsi="宋体" w:eastAsia="宋体" w:cs="宋体"/>
          <w:i w:val="0"/>
          <w:caps w:val="0"/>
          <w:color w:val="000000"/>
          <w:spacing w:val="0"/>
          <w:kern w:val="0"/>
          <w:sz w:val="19"/>
          <w:szCs w:val="19"/>
          <w:bdr w:val="none" w:color="auto" w:sz="0" w:space="0"/>
          <w:lang w:val="en-US" w:eastAsia="zh-CN" w:bidi="ar"/>
        </w:rPr>
        <w:t>、企业法人营业执照复印件；</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3</w:t>
      </w:r>
      <w:r>
        <w:rPr>
          <w:rFonts w:hint="eastAsia" w:ascii="宋体" w:hAnsi="宋体" w:eastAsia="宋体" w:cs="宋体"/>
          <w:i w:val="0"/>
          <w:caps w:val="0"/>
          <w:color w:val="000000"/>
          <w:spacing w:val="0"/>
          <w:kern w:val="0"/>
          <w:sz w:val="19"/>
          <w:szCs w:val="19"/>
          <w:bdr w:val="none" w:color="auto" w:sz="0" w:space="0"/>
          <w:lang w:val="en-US" w:eastAsia="zh-CN" w:bidi="ar"/>
        </w:rPr>
        <w:t>、上级主管部门同意变更的批复意见，或公司股东大会、董事会的决议；</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4</w:t>
      </w:r>
      <w:r>
        <w:rPr>
          <w:rFonts w:hint="eastAsia" w:ascii="宋体" w:hAnsi="宋体" w:eastAsia="宋体" w:cs="宋体"/>
          <w:i w:val="0"/>
          <w:caps w:val="0"/>
          <w:color w:val="000000"/>
          <w:spacing w:val="0"/>
          <w:kern w:val="0"/>
          <w:sz w:val="19"/>
          <w:szCs w:val="19"/>
          <w:bdr w:val="none" w:color="auto" w:sz="0" w:space="0"/>
          <w:lang w:val="en-US" w:eastAsia="zh-CN" w:bidi="ar"/>
        </w:rPr>
        <w:t>、工商部门变更手续；</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5</w:t>
      </w:r>
      <w:r>
        <w:rPr>
          <w:rFonts w:hint="eastAsia" w:ascii="宋体" w:hAnsi="宋体" w:eastAsia="宋体" w:cs="宋体"/>
          <w:i w:val="0"/>
          <w:caps w:val="0"/>
          <w:color w:val="000000"/>
          <w:spacing w:val="0"/>
          <w:kern w:val="0"/>
          <w:sz w:val="19"/>
          <w:szCs w:val="19"/>
          <w:bdr w:val="none" w:color="auto" w:sz="0" w:space="0"/>
          <w:lang w:val="en-US" w:eastAsia="zh-CN" w:bidi="ar"/>
        </w:rPr>
        <w:t>、省级发展改革委的审核意见。</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（四）机构名称发生变更时，资格证书的正本、副本同时更换。企业住所、营业执照注册号、注册资金、法定代表人发生变更时，只对资格证书副本的有关内容进行更新。</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（五）由于遗失、损坏等原因确需补办资格证书的，应当提供如下资料：</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1</w:t>
      </w:r>
      <w:r>
        <w:rPr>
          <w:rFonts w:hint="eastAsia" w:ascii="宋体" w:hAnsi="宋体" w:eastAsia="宋体" w:cs="宋体"/>
          <w:i w:val="0"/>
          <w:caps w:val="0"/>
          <w:color w:val="000000"/>
          <w:spacing w:val="0"/>
          <w:kern w:val="0"/>
          <w:sz w:val="19"/>
          <w:szCs w:val="19"/>
          <w:bdr w:val="none" w:color="auto" w:sz="0" w:space="0"/>
          <w:lang w:val="en-US" w:eastAsia="zh-CN" w:bidi="ar"/>
        </w:rPr>
        <w:t>、补办申请；</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2</w:t>
      </w:r>
      <w:r>
        <w:rPr>
          <w:rFonts w:hint="eastAsia" w:ascii="宋体" w:hAnsi="宋体" w:eastAsia="宋体" w:cs="宋体"/>
          <w:i w:val="0"/>
          <w:caps w:val="0"/>
          <w:color w:val="000000"/>
          <w:spacing w:val="0"/>
          <w:kern w:val="0"/>
          <w:sz w:val="19"/>
          <w:szCs w:val="19"/>
          <w:bdr w:val="none" w:color="auto" w:sz="0" w:space="0"/>
          <w:lang w:val="en-US" w:eastAsia="zh-CN" w:bidi="ar"/>
        </w:rPr>
        <w:t>、遗失或损坏情况说明。</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（六）中央投资项目招标代理机构应在资格证书有效期届满</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30</w:t>
      </w:r>
      <w:r>
        <w:rPr>
          <w:rFonts w:hint="eastAsia" w:ascii="宋体" w:hAnsi="宋体" w:eastAsia="宋体" w:cs="宋体"/>
          <w:i w:val="0"/>
          <w:caps w:val="0"/>
          <w:color w:val="000000"/>
          <w:spacing w:val="0"/>
          <w:kern w:val="0"/>
          <w:sz w:val="19"/>
          <w:szCs w:val="19"/>
          <w:bdr w:val="none" w:color="auto" w:sz="0" w:space="0"/>
          <w:lang w:val="en-US" w:eastAsia="zh-CN" w:bidi="ar"/>
        </w:rPr>
        <w:t>个工作日前，向我委提出延续申请。经审核，符合中央投资项目招标代理资格要求的，颁发新的资格证书。</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各中央投资项目招标代理机构应认真执行上述有关规定，切实做好中央投资项目招标代理工作。</w:t>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r>
        <w:rPr>
          <w:rFonts w:hint="eastAsia" w:ascii="宋体" w:hAnsi="宋体" w:eastAsia="宋体" w:cs="宋体"/>
          <w:i w:val="0"/>
          <w:caps w:val="0"/>
          <w:color w:val="000000"/>
          <w:spacing w:val="0"/>
          <w:kern w:val="0"/>
          <w:sz w:val="19"/>
          <w:szCs w:val="19"/>
          <w:bdr w:val="none" w:color="auto" w:sz="0" w:space="0"/>
          <w:lang w:val="en-US" w:eastAsia="zh-CN" w:bidi="ar"/>
        </w:rPr>
        <w:t>附件：</w:t>
      </w:r>
      <w:r>
        <w:rPr>
          <w:rFonts w:hint="default" w:ascii="ˎ̥" w:hAnsi="ˎ̥" w:eastAsia="ˎ̥" w:cs="ˎ̥"/>
          <w:i w:val="0"/>
          <w:caps w:val="0"/>
          <w:color w:val="333333"/>
          <w:spacing w:val="0"/>
          <w:kern w:val="0"/>
          <w:sz w:val="19"/>
          <w:szCs w:val="19"/>
          <w:u w:val="none"/>
          <w:bdr w:val="none" w:color="auto" w:sz="0" w:space="0"/>
          <w:lang w:val="en-US" w:eastAsia="zh-CN" w:bidi="ar"/>
        </w:rPr>
        <w:fldChar w:fldCharType="begin"/>
      </w:r>
      <w:r>
        <w:rPr>
          <w:rFonts w:hint="default" w:ascii="ˎ̥" w:hAnsi="ˎ̥" w:eastAsia="ˎ̥" w:cs="ˎ̥"/>
          <w:i w:val="0"/>
          <w:caps w:val="0"/>
          <w:color w:val="333333"/>
          <w:spacing w:val="0"/>
          <w:kern w:val="0"/>
          <w:sz w:val="19"/>
          <w:szCs w:val="19"/>
          <w:u w:val="none"/>
          <w:bdr w:val="none" w:color="auto" w:sz="0" w:space="0"/>
          <w:lang w:val="en-US" w:eastAsia="zh-CN" w:bidi="ar"/>
        </w:rPr>
        <w:instrText xml:space="preserve"> HYPERLINK "javascript:if(confirm('http://www.sdpc.gov.cn/gdzctz/tzfg/W020081107384855007081.jpg  \\n\\n%E8%AF%A5%E6%96%87%E4%BB%B6%E6%97%A0%E6%B3%95%E7%94%A8 Teleport Ultra %E4%B8%8B%E8%BD%BD, %E5%9B%A0%E4%B8%BA %E5%AE%83%E6%98%AF%E4%B8%80%E4%B8%AA%E5%9F%9F%E6%88%96%E8%B7%AF%E5%BE%84%E5%A4%96%E9%83%A8%E8%A2%AB%E8%AE%BE%E7%BD%AE%E4%B8%BA%E5%AE%83%E7%9A%84%E5%90%AF%E5%A7%8B%E5%9C%B0%E5%9D%80%E7%9A%84%E5%9C%B0%E5%9D%80%E3%80%82  \\n\\n%E4%BD%A0%E6%83%B3%E5%9C%A8%E6%9C%8D%E5%8A%A1%E5%99%A8%E4%B8%8A%E6%89%93%E5%BC%80%E5%AE%83?'))window.location='http://www.sdpc.gov.cn/gdzctz/tzfg/W020081107384855007081.jpg'" \t "http://www.ctba.org.cn/zt/zgglpt/_blank" </w:instrText>
      </w:r>
      <w:r>
        <w:rPr>
          <w:rFonts w:hint="default" w:ascii="ˎ̥" w:hAnsi="ˎ̥" w:eastAsia="ˎ̥" w:cs="ˎ̥"/>
          <w:i w:val="0"/>
          <w:caps w:val="0"/>
          <w:color w:val="333333"/>
          <w:spacing w:val="0"/>
          <w:kern w:val="0"/>
          <w:sz w:val="19"/>
          <w:szCs w:val="19"/>
          <w:u w:val="none"/>
          <w:bdr w:val="none" w:color="auto" w:sz="0" w:space="0"/>
          <w:lang w:val="en-US" w:eastAsia="zh-CN" w:bidi="ar"/>
        </w:rPr>
        <w:fldChar w:fldCharType="separate"/>
      </w:r>
      <w:r>
        <w:rPr>
          <w:rStyle w:val="7"/>
          <w:rFonts w:hint="eastAsia" w:ascii="宋体" w:hAnsi="宋体" w:eastAsia="宋体" w:cs="宋体"/>
          <w:i w:val="0"/>
          <w:caps w:val="0"/>
          <w:color w:val="333333"/>
          <w:spacing w:val="0"/>
          <w:sz w:val="19"/>
          <w:szCs w:val="19"/>
          <w:u w:val="none"/>
          <w:bdr w:val="none" w:color="auto" w:sz="0" w:space="0"/>
          <w:lang w:val="en-US"/>
        </w:rPr>
        <w:t>一、招标从业人员基本情况表</w:t>
      </w:r>
      <w:r>
        <w:rPr>
          <w:rFonts w:hint="default" w:ascii="ˎ̥" w:hAnsi="ˎ̥" w:eastAsia="ˎ̥" w:cs="ˎ̥"/>
          <w:i w:val="0"/>
          <w:caps w:val="0"/>
          <w:color w:val="333333"/>
          <w:spacing w:val="0"/>
          <w:kern w:val="0"/>
          <w:sz w:val="19"/>
          <w:szCs w:val="19"/>
          <w:u w:val="none"/>
          <w:bdr w:val="none" w:color="auto" w:sz="0" w:space="0"/>
          <w:lang w:val="en-US" w:eastAsia="zh-CN" w:bidi="ar"/>
        </w:rPr>
        <w:fldChar w:fldCharType="end"/>
      </w:r>
      <w:r>
        <w:rPr>
          <w:rFonts w:hint="default" w:ascii="ˎ̥" w:hAnsi="ˎ̥" w:eastAsia="ˎ̥" w:cs="ˎ̥"/>
          <w:i w:val="0"/>
          <w:caps w:val="0"/>
          <w:color w:val="000000"/>
          <w:spacing w:val="0"/>
          <w:kern w:val="0"/>
          <w:sz w:val="19"/>
          <w:szCs w:val="19"/>
          <w:bdr w:val="none" w:color="auto" w:sz="0" w:space="0"/>
          <w:lang w:val="en-US" w:eastAsia="zh-CN" w:bidi="ar"/>
        </w:rPr>
        <w:br w:type="textWrapping"/>
      </w:r>
      <w:r>
        <w:rPr>
          <w:rFonts w:hint="eastAsia" w:ascii="宋体" w:hAnsi="宋体" w:eastAsia="宋体" w:cs="宋体"/>
          <w:i w:val="0"/>
          <w:caps w:val="0"/>
          <w:color w:val="0000FF"/>
          <w:spacing w:val="0"/>
          <w:kern w:val="0"/>
          <w:sz w:val="19"/>
          <w:szCs w:val="19"/>
          <w:bdr w:val="none" w:color="auto" w:sz="0" w:space="0"/>
          <w:lang w:val="en-US" w:eastAsia="zh-CN" w:bidi="ar"/>
        </w:rPr>
        <w:t>　　　　　</w:t>
      </w:r>
      <w:r>
        <w:rPr>
          <w:rFonts w:hint="default" w:ascii="ˎ̥" w:hAnsi="ˎ̥" w:eastAsia="ˎ̥" w:cs="ˎ̥"/>
          <w:i w:val="0"/>
          <w:caps w:val="0"/>
          <w:color w:val="333333"/>
          <w:spacing w:val="0"/>
          <w:kern w:val="0"/>
          <w:sz w:val="19"/>
          <w:szCs w:val="19"/>
          <w:u w:val="none"/>
          <w:bdr w:val="none" w:color="auto" w:sz="0" w:space="0"/>
          <w:lang w:val="en-US" w:eastAsia="zh-CN" w:bidi="ar"/>
        </w:rPr>
        <w:fldChar w:fldCharType="begin"/>
      </w:r>
      <w:r>
        <w:rPr>
          <w:rFonts w:hint="default" w:ascii="ˎ̥" w:hAnsi="ˎ̥" w:eastAsia="ˎ̥" w:cs="ˎ̥"/>
          <w:i w:val="0"/>
          <w:caps w:val="0"/>
          <w:color w:val="333333"/>
          <w:spacing w:val="0"/>
          <w:kern w:val="0"/>
          <w:sz w:val="19"/>
          <w:szCs w:val="19"/>
          <w:u w:val="none"/>
          <w:bdr w:val="none" w:color="auto" w:sz="0" w:space="0"/>
          <w:lang w:val="en-US" w:eastAsia="zh-CN" w:bidi="ar"/>
        </w:rPr>
        <w:instrText xml:space="preserve"> HYPERLINK "javascript:if(confirm('http://www.sdpc.gov.cn/gdzctz/tzfg/W020081107384855199409.jpg  \\n\\n%E8%AF%A5%E6%96%87%E4%BB%B6%E6%97%A0%E6%B3%95%E7%94%A8 Teleport Ultra %E4%B8%8B%E8%BD%BD, %E5%9B%A0%E4%B8%BA %E5%AE%83%E6%98%AF%E4%B8%80%E4%B8%AA%E5%9F%9F%E6%88%96%E8%B7%AF%E5%BE%84%E5%A4%96%E9%83%A8%E8%A2%AB%E8%AE%BE%E7%BD%AE%E4%B8%BA%E5%AE%83%E7%9A%84%E5%90%AF%E5%A7%8B%E5%9C%B0%E5%9D%80%E7%9A%84%E5%9C%B0%E5%9D%80%E3%80%82  \\n\\n%E4%BD%A0%E6%83%B3%E5%9C%A8%E6%9C%8D%E5%8A%A1%E5%99%A8%E4%B8%8A%E6%89%93%E5%BC%80%E5%AE%83?'))window.location='http://www.sdpc.gov.cn/gdzctz/tzfg/W020081107384855199409.jpg'" \t "http://www.ctba.org.cn/zt/zgglpt/_blank" </w:instrText>
      </w:r>
      <w:r>
        <w:rPr>
          <w:rFonts w:hint="default" w:ascii="ˎ̥" w:hAnsi="ˎ̥" w:eastAsia="ˎ̥" w:cs="ˎ̥"/>
          <w:i w:val="0"/>
          <w:caps w:val="0"/>
          <w:color w:val="333333"/>
          <w:spacing w:val="0"/>
          <w:kern w:val="0"/>
          <w:sz w:val="19"/>
          <w:szCs w:val="19"/>
          <w:u w:val="none"/>
          <w:bdr w:val="none" w:color="auto" w:sz="0" w:space="0"/>
          <w:lang w:val="en-US" w:eastAsia="zh-CN" w:bidi="ar"/>
        </w:rPr>
        <w:fldChar w:fldCharType="separate"/>
      </w:r>
      <w:r>
        <w:rPr>
          <w:rStyle w:val="7"/>
          <w:rFonts w:hint="eastAsia" w:ascii="宋体" w:hAnsi="宋体" w:eastAsia="宋体" w:cs="宋体"/>
          <w:i w:val="0"/>
          <w:caps w:val="0"/>
          <w:color w:val="333333"/>
          <w:spacing w:val="0"/>
          <w:sz w:val="19"/>
          <w:szCs w:val="19"/>
          <w:u w:val="none"/>
          <w:bdr w:val="none" w:color="auto" w:sz="0" w:space="0"/>
          <w:lang w:val="en-US"/>
        </w:rPr>
        <w:t>二、中央投资项目招标项目年度汇总表</w:t>
      </w:r>
      <w:r>
        <w:rPr>
          <w:rFonts w:hint="default" w:ascii="ˎ̥" w:hAnsi="ˎ̥" w:eastAsia="ˎ̥" w:cs="ˎ̥"/>
          <w:i w:val="0"/>
          <w:caps w:val="0"/>
          <w:color w:val="333333"/>
          <w:spacing w:val="0"/>
          <w:kern w:val="0"/>
          <w:sz w:val="19"/>
          <w:szCs w:val="19"/>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pPr>
      <w:r>
        <w:rPr>
          <w:rFonts w:hint="default" w:ascii="Times New Roman" w:hAnsi="Times New Roman" w:eastAsia="ˎ̥" w:cs="Times New Roman"/>
          <w:i w:val="0"/>
          <w:caps w:val="0"/>
          <w:color w:val="000000"/>
          <w:spacing w:val="0"/>
          <w:kern w:val="0"/>
          <w:sz w:val="19"/>
          <w:szCs w:val="19"/>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000000"/>
          <w:spacing w:val="0"/>
          <w:kern w:val="0"/>
          <w:sz w:val="19"/>
          <w:szCs w:val="19"/>
          <w:bdr w:val="none" w:color="auto" w:sz="0" w:space="0"/>
          <w:lang w:val="en-US" w:eastAsia="zh-CN" w:bidi="ar"/>
        </w:rPr>
        <w:t>国家发展和改革委员会办公厅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eastAsia" w:ascii="宋体" w:hAnsi="宋体" w:eastAsia="宋体" w:cs="宋体"/>
          <w:i w:val="0"/>
          <w:caps w:val="0"/>
          <w:color w:val="000000"/>
          <w:spacing w:val="0"/>
          <w:kern w:val="0"/>
          <w:sz w:val="19"/>
          <w:szCs w:val="19"/>
          <w:bdr w:val="none" w:color="auto" w:sz="0" w:space="0"/>
          <w:lang w:val="en-US" w:eastAsia="zh-CN" w:bidi="ar"/>
        </w:rPr>
        <w:t>二</w:t>
      </w:r>
      <w:r>
        <w:rPr>
          <w:rFonts w:hint="default" w:ascii="Times New Roman" w:hAnsi="Times New Roman" w:eastAsia="ˎ̥" w:cs="Times New Roman"/>
          <w:i w:val="0"/>
          <w:caps w:val="0"/>
          <w:color w:val="000000"/>
          <w:spacing w:val="0"/>
          <w:kern w:val="0"/>
          <w:sz w:val="19"/>
          <w:szCs w:val="19"/>
          <w:bdr w:val="none" w:color="auto" w:sz="0" w:space="0"/>
          <w:lang w:val="en-US" w:eastAsia="zh-CN" w:bidi="ar"/>
        </w:rPr>
        <w:t>○○</w:t>
      </w:r>
      <w:r>
        <w:rPr>
          <w:rFonts w:hint="eastAsia" w:ascii="宋体" w:hAnsi="宋体" w:eastAsia="宋体" w:cs="宋体"/>
          <w:i w:val="0"/>
          <w:caps w:val="0"/>
          <w:color w:val="000000"/>
          <w:spacing w:val="0"/>
          <w:kern w:val="0"/>
          <w:sz w:val="19"/>
          <w:szCs w:val="19"/>
          <w:bdr w:val="none" w:color="auto" w:sz="0" w:space="0"/>
          <w:lang w:val="en-US" w:eastAsia="zh-CN" w:bidi="ar"/>
        </w:rPr>
        <w:t>八年十月二十九日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ˎ̥">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C0501"/>
    <w:rsid w:val="116B684C"/>
    <w:rsid w:val="3C7C0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2020-06-11T07:44:00Z</dcterms:created>
  <dc:creator>Administrator</dc:creator>
  <cp:lastModifiedBy>Administrator</cp:lastModifiedBy>
  <dcterms:modified xsi:type="dcterms:W3CDTF">2020-06-11T07:44:56Z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