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E3932">
      <w:pPr>
        <w:jc w:val="center"/>
        <w:outlineLvl w:val="1"/>
        <w:rPr>
          <w:rFonts w:ascii="Times New Roman" w:hAnsi="Times New Roman" w:eastAsia="宋体" w:cs="Times New Roman"/>
          <w:b/>
          <w:sz w:val="28"/>
          <w:szCs w:val="28"/>
        </w:rPr>
      </w:pPr>
      <w:r>
        <w:rPr>
          <w:rFonts w:hint="eastAsia" w:cs="Times New Roman"/>
          <w:b/>
          <w:bCs/>
          <w:sz w:val="28"/>
          <w:szCs w:val="28"/>
          <w:lang w:val="en-US" w:eastAsia="zh-CN"/>
        </w:rPr>
        <w:t>四</w:t>
      </w:r>
      <w:r>
        <w:rPr>
          <w:rFonts w:hint="eastAsia" w:ascii="Times New Roman" w:hAnsi="Times New Roman" w:eastAsia="宋体" w:cs="Times New Roman"/>
          <w:b/>
          <w:sz w:val="28"/>
          <w:szCs w:val="28"/>
          <w:lang w:val="en-US" w:eastAsia="zh-CN"/>
        </w:rPr>
        <w:t>、主要创新成就和贡献</w:t>
      </w:r>
    </w:p>
    <w:tbl>
      <w:tblPr>
        <w:tblStyle w:val="2"/>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5"/>
      </w:tblGrid>
      <w:tr w14:paraId="7A5D7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2" w:hRule="atLeast"/>
        </w:trPr>
        <w:tc>
          <w:tcPr>
            <w:tcW w:w="8755" w:type="dxa"/>
            <w:noWrap w:val="0"/>
            <w:vAlign w:val="top"/>
          </w:tcPr>
          <w:p w14:paraId="7C4AB689">
            <w:pPr>
              <w:widowControl w:val="0"/>
              <w:numPr>
                <w:ilvl w:val="0"/>
                <w:numId w:val="0"/>
              </w:numPr>
              <w:spacing w:line="360" w:lineRule="auto"/>
              <w:ind w:firstLine="0" w:firstLineChars="0"/>
              <w:jc w:val="both"/>
              <w:rPr>
                <w:rFonts w:hint="eastAsia" w:ascii="Times New Roman" w:hAnsi="Times New Roman" w:eastAsia="宋体" w:cs="Times New Roman"/>
                <w:iCs/>
                <w:kern w:val="2"/>
                <w:sz w:val="21"/>
                <w:lang w:val="en-US" w:eastAsia="zh-CN" w:bidi="ar-SA"/>
              </w:rPr>
            </w:pPr>
            <w:r>
              <w:rPr>
                <w:rFonts w:hint="eastAsia" w:ascii="Times New Roman" w:hAnsi="Times New Roman" w:eastAsia="宋体" w:cs="Times New Roman"/>
                <w:iCs/>
                <w:kern w:val="2"/>
                <w:sz w:val="21"/>
                <w:lang w:val="en-US" w:eastAsia="zh-CN" w:bidi="ar-SA"/>
              </w:rPr>
              <w:t>（1）道德素养及创新贡献综述。</w:t>
            </w:r>
          </w:p>
          <w:p w14:paraId="15430C60">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Times New Roman" w:hAnsi="Times New Roman" w:eastAsia="宋体" w:cs="Times New Roman"/>
                <w:i w:val="0"/>
                <w:iCs w:val="0"/>
                <w:caps w:val="0"/>
                <w:spacing w:val="0"/>
                <w:sz w:val="24"/>
                <w:szCs w:val="24"/>
                <w:highlight w:val="none"/>
                <w:shd w:val="clear" w:fill="FFFFFF"/>
                <w:lang w:val="en-US" w:eastAsia="zh-CN"/>
              </w:rPr>
            </w:pPr>
            <w:r>
              <w:rPr>
                <w:rFonts w:hint="eastAsia" w:cs="Times New Roman"/>
                <w:i w:val="0"/>
                <w:iCs w:val="0"/>
                <w:caps w:val="0"/>
                <w:spacing w:val="0"/>
                <w:sz w:val="24"/>
                <w:szCs w:val="24"/>
                <w:highlight w:val="none"/>
                <w:shd w:val="clear" w:fill="FFFFFF"/>
                <w:lang w:val="en-US" w:eastAsia="zh-CN"/>
              </w:rPr>
              <w:t>候选人政治</w:t>
            </w:r>
            <w:r>
              <w:rPr>
                <w:rFonts w:ascii="Segoe UI" w:hAnsi="Segoe UI" w:eastAsia="Segoe UI" w:cs="Segoe UI"/>
                <w:i w:val="0"/>
                <w:iCs w:val="0"/>
                <w:caps w:val="0"/>
                <w:spacing w:val="0"/>
                <w:sz w:val="24"/>
                <w:szCs w:val="24"/>
                <w:highlight w:val="none"/>
                <w:shd w:val="clear" w:fill="FFFFFF"/>
              </w:rPr>
              <w:t>立场坚定，对党忠诚，</w:t>
            </w:r>
            <w:r>
              <w:rPr>
                <w:rFonts w:hint="default" w:ascii="Segoe UI" w:hAnsi="Segoe UI" w:eastAsia="Segoe UI" w:cs="Segoe UI"/>
                <w:i w:val="0"/>
                <w:iCs w:val="0"/>
                <w:caps w:val="0"/>
                <w:spacing w:val="0"/>
                <w:kern w:val="0"/>
                <w:sz w:val="24"/>
                <w:szCs w:val="24"/>
                <w:highlight w:val="none"/>
                <w:shd w:val="clear" w:fill="FFFFFF"/>
                <w:lang w:val="en-US" w:eastAsia="zh-CN" w:bidi="ar"/>
              </w:rPr>
              <w:t>始终坚守共产主义信仰，坚决贯彻执行党的路线、方针和政策，</w:t>
            </w:r>
            <w:r>
              <w:rPr>
                <w:rFonts w:ascii="Segoe UI" w:hAnsi="Segoe UI" w:eastAsia="Segoe UI" w:cs="Segoe UI"/>
                <w:i w:val="0"/>
                <w:iCs w:val="0"/>
                <w:caps w:val="0"/>
                <w:spacing w:val="0"/>
                <w:sz w:val="24"/>
                <w:szCs w:val="24"/>
                <w:highlight w:val="none"/>
                <w:shd w:val="clear" w:fill="FFFFFF"/>
              </w:rPr>
              <w:t>积极主动学习党的最新理论，不断提高自身的政治觉悟和理论水平，时刻保持对党的事业的高度热情和责任感。</w:t>
            </w:r>
            <w:r>
              <w:rPr>
                <w:rFonts w:hint="default" w:ascii="Segoe UI" w:hAnsi="Segoe UI" w:eastAsia="Segoe UI" w:cs="Segoe UI"/>
                <w:i w:val="0"/>
                <w:iCs w:val="0"/>
                <w:caps w:val="0"/>
                <w:spacing w:val="0"/>
                <w:kern w:val="0"/>
                <w:sz w:val="24"/>
                <w:szCs w:val="24"/>
                <w:highlight w:val="none"/>
                <w:shd w:val="clear" w:fill="FFFFFF"/>
                <w:lang w:val="en-US" w:eastAsia="zh-CN" w:bidi="ar"/>
              </w:rPr>
              <w:t>以强烈的政治责任感和使命感引领企业的发展方向。</w:t>
            </w:r>
            <w:r>
              <w:rPr>
                <w:rFonts w:hint="eastAsia" w:ascii="Segoe UI" w:hAnsi="Segoe UI" w:eastAsia="Segoe UI" w:cs="Segoe UI"/>
                <w:i w:val="0"/>
                <w:iCs w:val="0"/>
                <w:caps w:val="0"/>
                <w:spacing w:val="0"/>
                <w:kern w:val="0"/>
                <w:sz w:val="24"/>
                <w:szCs w:val="24"/>
                <w:highlight w:val="none"/>
                <w:shd w:val="clear" w:fill="FFFFFF"/>
                <w:lang w:val="en-US" w:eastAsia="zh-CN" w:bidi="ar"/>
              </w:rPr>
              <w:t>充分发挥党员模范带头作用及产业带动作用，立足所在产业需求，在</w:t>
            </w:r>
            <w:r>
              <w:rPr>
                <w:rFonts w:hint="default" w:ascii="Times New Roman" w:hAnsi="Times New Roman" w:eastAsia="宋体" w:cs="Times New Roman"/>
                <w:i w:val="0"/>
                <w:iCs w:val="0"/>
                <w:caps w:val="0"/>
                <w:spacing w:val="0"/>
                <w:sz w:val="24"/>
                <w:szCs w:val="24"/>
                <w:highlight w:val="none"/>
                <w:shd w:val="clear" w:fill="FFFFFF"/>
                <w:lang w:val="en-US" w:eastAsia="zh-CN"/>
              </w:rPr>
              <w:t>科技创新方面展现出非凡的精神与才华。一直以来，他秉持着高度的诚信准则与正直品质，始终坚定地坚守着加速陕西省半导体产业科技成果转化这一初心与使命，凭借着自身卓越的领导才能与智慧，带领所属企业一路披荆斩棘，实现了快速且稳健的发展。</w:t>
            </w:r>
          </w:p>
          <w:p w14:paraId="457C2EB4">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Times New Roman" w:hAnsi="Times New Roman" w:eastAsia="宋体" w:cs="Times New Roman"/>
                <w:i w:val="0"/>
                <w:iCs w:val="0"/>
                <w:caps w:val="0"/>
                <w:spacing w:val="0"/>
                <w:sz w:val="24"/>
                <w:szCs w:val="24"/>
                <w:highlight w:val="none"/>
                <w:shd w:val="clear" w:fill="FFFFFF"/>
                <w:lang w:val="en-US" w:eastAsia="zh-CN"/>
              </w:rPr>
            </w:pPr>
            <w:r>
              <w:rPr>
                <w:rFonts w:hint="default" w:ascii="Times New Roman" w:hAnsi="Times New Roman" w:eastAsia="宋体" w:cs="Times New Roman"/>
                <w:i w:val="0"/>
                <w:iCs w:val="0"/>
                <w:caps w:val="0"/>
                <w:spacing w:val="0"/>
                <w:sz w:val="24"/>
                <w:szCs w:val="24"/>
                <w:highlight w:val="none"/>
                <w:shd w:val="clear" w:fill="FFFFFF"/>
                <w:lang w:val="en-US" w:eastAsia="zh-CN"/>
              </w:rPr>
              <w:t>在日常的工作过程中，候选人展现出了强烈且极具感染力的团队领导力，能够充分激发团队成员的潜力与积极性，使得整个团队紧密协作、高效运转。与此同时，他还具有高度的社会责任感，积极投身于社会公益事业与行业发展推动工作，作为中国半导体行业协会常务理事以及其他全国行业组织领导，他凭借着自身深厚的专业知识储备与丰富的实践经验，对半导体及集成电路产业的发展形成了深刻且独到的认知与见解。</w:t>
            </w:r>
          </w:p>
          <w:p w14:paraId="7EB6C0C1">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Times New Roman" w:hAnsi="Times New Roman" w:eastAsia="宋体" w:cs="Times New Roman"/>
                <w:i w:val="0"/>
                <w:iCs w:val="0"/>
                <w:caps w:val="0"/>
                <w:spacing w:val="0"/>
                <w:sz w:val="24"/>
                <w:szCs w:val="24"/>
                <w:highlight w:val="none"/>
                <w:shd w:val="clear" w:fill="FFFFFF"/>
                <w:lang w:val="en-US" w:eastAsia="zh-CN"/>
              </w:rPr>
            </w:pPr>
            <w:r>
              <w:rPr>
                <w:rFonts w:hint="default" w:ascii="Times New Roman" w:hAnsi="Times New Roman" w:eastAsia="宋体" w:cs="Times New Roman"/>
                <w:i w:val="0"/>
                <w:iCs w:val="0"/>
                <w:caps w:val="0"/>
                <w:spacing w:val="0"/>
                <w:sz w:val="24"/>
                <w:szCs w:val="24"/>
                <w:highlight w:val="none"/>
                <w:shd w:val="clear" w:fill="FFFFFF"/>
                <w:lang w:val="en-US" w:eastAsia="zh-CN"/>
              </w:rPr>
              <w:t>在企业发展中，</w:t>
            </w:r>
            <w:r>
              <w:rPr>
                <w:rFonts w:hint="eastAsia" w:cs="Times New Roman"/>
                <w:i w:val="0"/>
                <w:iCs w:val="0"/>
                <w:caps w:val="0"/>
                <w:spacing w:val="0"/>
                <w:sz w:val="24"/>
                <w:szCs w:val="24"/>
                <w:highlight w:val="none"/>
                <w:shd w:val="clear" w:fill="FFFFFF"/>
                <w:lang w:val="en-US" w:eastAsia="zh-CN"/>
              </w:rPr>
              <w:t>候选人</w:t>
            </w:r>
            <w:r>
              <w:rPr>
                <w:rFonts w:hint="default" w:ascii="Times New Roman" w:hAnsi="Times New Roman" w:eastAsia="宋体" w:cs="Times New Roman"/>
                <w:i w:val="0"/>
                <w:iCs w:val="0"/>
                <w:caps w:val="0"/>
                <w:spacing w:val="0"/>
                <w:sz w:val="24"/>
                <w:szCs w:val="24"/>
                <w:highlight w:val="none"/>
                <w:shd w:val="clear" w:fill="FFFFFF"/>
                <w:lang w:val="en-US" w:eastAsia="zh-CN"/>
              </w:rPr>
              <w:t>对于攻克半导体关键技术、提升产业战略地位等重要发展方向，具有精准的判断力与高效的行动力。他通过精准地聚焦技术、人才、市场等关键资源要素，为企业制定出科学合理且具有前瞻性的发展战略，成功地实现了企业的创新发展与规模化扩张。在推动经济社会发展方面，他积极引领企业开展技术创新与产业升级，为区域经济增长注入了强大的动力；在生态环境改善领域，他倡导企业践行绿色发展理念，推动节能减排与资源循环利用技术的研发与应用；在保障国家安全层面，他带领企业积极投身于国家关键半导体技术与产品的研发与生产，为国家信息安全、国防安全等提供了坚实的技术与产品支撑，在各个重要领域都做出了极为突出的贡献。</w:t>
            </w:r>
          </w:p>
          <w:p w14:paraId="2FF2EFE5">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Times New Roman" w:hAnsi="Times New Roman" w:eastAsia="宋体" w:cs="Times New Roman"/>
                <w:iCs/>
                <w:sz w:val="24"/>
                <w:szCs w:val="24"/>
                <w:highlight w:val="none"/>
                <w:lang w:val="en-US" w:eastAsia="zh-CN"/>
              </w:rPr>
            </w:pPr>
          </w:p>
          <w:p w14:paraId="26661E41">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Times New Roman" w:hAnsi="Times New Roman" w:eastAsia="宋体" w:cs="Times New Roman"/>
                <w:iCs/>
                <w:sz w:val="24"/>
                <w:szCs w:val="24"/>
                <w:highlight w:val="none"/>
                <w:lang w:val="en-US" w:eastAsia="zh-CN"/>
              </w:rPr>
            </w:pPr>
          </w:p>
          <w:p w14:paraId="65A7BCF4">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Times New Roman" w:hAnsi="Times New Roman" w:eastAsia="宋体" w:cs="Times New Roman"/>
                <w:iCs/>
                <w:sz w:val="24"/>
                <w:szCs w:val="24"/>
                <w:lang w:val="en-US" w:eastAsia="zh-CN"/>
              </w:rPr>
            </w:pPr>
          </w:p>
          <w:p w14:paraId="36206695">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Times New Roman" w:hAnsi="Times New Roman" w:eastAsia="宋体" w:cs="Times New Roman"/>
                <w:iCs/>
                <w:sz w:val="24"/>
                <w:szCs w:val="24"/>
                <w:lang w:val="en-US" w:eastAsia="zh-CN"/>
              </w:rPr>
            </w:pPr>
          </w:p>
          <w:p w14:paraId="2964EE61">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Times New Roman" w:hAnsi="Times New Roman" w:eastAsia="宋体" w:cs="Times New Roman"/>
                <w:iCs/>
                <w:sz w:val="24"/>
                <w:szCs w:val="24"/>
                <w:lang w:val="en-US" w:eastAsia="zh-CN"/>
              </w:rPr>
            </w:pPr>
          </w:p>
          <w:p w14:paraId="491D1083">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Times New Roman" w:hAnsi="Times New Roman" w:eastAsia="宋体" w:cs="Times New Roman"/>
                <w:iCs/>
                <w:sz w:val="24"/>
                <w:szCs w:val="24"/>
                <w:lang w:val="en-US" w:eastAsia="zh-CN"/>
              </w:rPr>
            </w:pPr>
          </w:p>
          <w:p w14:paraId="0F8921D4">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Times New Roman" w:hAnsi="Times New Roman" w:eastAsia="宋体" w:cs="Times New Roman"/>
                <w:iCs/>
                <w:sz w:val="24"/>
                <w:szCs w:val="24"/>
                <w:lang w:val="en-US" w:eastAsia="zh-CN"/>
              </w:rPr>
            </w:pPr>
          </w:p>
          <w:p w14:paraId="3D267149">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Times New Roman" w:hAnsi="Times New Roman" w:eastAsia="宋体" w:cs="Times New Roman"/>
                <w:iCs/>
                <w:sz w:val="24"/>
                <w:szCs w:val="24"/>
                <w:lang w:val="en-US" w:eastAsia="zh-CN"/>
              </w:rPr>
            </w:pPr>
          </w:p>
          <w:p w14:paraId="59AF7B7D">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Times New Roman" w:hAnsi="Times New Roman" w:eastAsia="宋体" w:cs="Times New Roman"/>
                <w:iCs/>
                <w:sz w:val="24"/>
                <w:szCs w:val="24"/>
                <w:lang w:val="en-US" w:eastAsia="zh-CN"/>
              </w:rPr>
            </w:pPr>
          </w:p>
          <w:p w14:paraId="08D06123">
            <w:pPr>
              <w:widowControl w:val="0"/>
              <w:numPr>
                <w:ilvl w:val="0"/>
                <w:numId w:val="0"/>
              </w:numPr>
              <w:spacing w:line="440" w:lineRule="exact"/>
              <w:jc w:val="both"/>
              <w:rPr>
                <w:rFonts w:hint="eastAsia" w:ascii="宋体" w:hAnsi="宋体" w:eastAsia="宋体" w:cs="宋体"/>
                <w:kern w:val="2"/>
                <w:sz w:val="24"/>
                <w:szCs w:val="20"/>
                <w:lang w:val="en-US" w:eastAsia="zh-CN" w:bidi="ar-SA"/>
              </w:rPr>
            </w:pPr>
            <w:r>
              <w:rPr>
                <w:rFonts w:hint="eastAsia" w:ascii="宋体" w:hAnsi="宋体" w:cs="宋体"/>
                <w:kern w:val="2"/>
                <w:sz w:val="24"/>
                <w:szCs w:val="20"/>
                <w:lang w:val="en-US" w:eastAsia="zh-CN" w:bidi="ar-SA"/>
              </w:rPr>
              <w:t>（2）</w:t>
            </w:r>
            <w:r>
              <w:rPr>
                <w:rFonts w:hint="eastAsia" w:ascii="宋体" w:hAnsi="宋体" w:eastAsia="宋体" w:cs="宋体"/>
                <w:kern w:val="2"/>
                <w:sz w:val="24"/>
                <w:szCs w:val="20"/>
                <w:lang w:val="en-US" w:eastAsia="zh-CN" w:bidi="ar-SA"/>
              </w:rPr>
              <w:t>创新能力情况。</w:t>
            </w:r>
          </w:p>
          <w:p w14:paraId="201F6ADB">
            <w:pPr>
              <w:keepNext w:val="0"/>
              <w:keepLines w:val="0"/>
              <w:pageBreakBefore w:val="0"/>
              <w:widowControl w:val="0"/>
              <w:kinsoku/>
              <w:wordWrap/>
              <w:overflowPunct/>
              <w:topLinePunct w:val="0"/>
              <w:autoSpaceDE/>
              <w:autoSpaceDN/>
              <w:bidi w:val="0"/>
              <w:adjustRightInd/>
              <w:snapToGrid/>
              <w:spacing w:beforeLines="0" w:afterLines="0" w:line="400" w:lineRule="exact"/>
              <w:ind w:firstLine="482" w:firstLineChars="200"/>
              <w:jc w:val="left"/>
              <w:textAlignment w:val="auto"/>
              <w:rPr>
                <w:rFonts w:hint="default" w:ascii="Times New Roman" w:hAnsi="Times New Roman" w:eastAsia="宋体" w:cs="Times New Roman"/>
                <w:b/>
                <w:bCs/>
                <w:i w:val="0"/>
                <w:iCs w:val="0"/>
                <w:caps w:val="0"/>
                <w:spacing w:val="0"/>
                <w:sz w:val="24"/>
                <w:szCs w:val="24"/>
                <w:shd w:val="clear" w:fill="FFFFFF"/>
                <w:lang w:val="en-US" w:eastAsia="zh-CN"/>
              </w:rPr>
            </w:pPr>
            <w:r>
              <w:rPr>
                <w:rFonts w:hint="eastAsia" w:cs="Times New Roman"/>
                <w:b/>
                <w:bCs/>
                <w:i w:val="0"/>
                <w:iCs w:val="0"/>
                <w:caps w:val="0"/>
                <w:spacing w:val="0"/>
                <w:sz w:val="24"/>
                <w:szCs w:val="24"/>
                <w:shd w:val="clear" w:fill="FFFFFF"/>
                <w:lang w:val="en-US" w:eastAsia="zh-CN"/>
              </w:rPr>
              <w:t>1）建立了完善的创新激励机制，提升企业创新能力</w:t>
            </w:r>
          </w:p>
          <w:p w14:paraId="5B16A789">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cs="Times New Roman"/>
                <w:i w:val="0"/>
                <w:iCs w:val="0"/>
                <w:caps w:val="0"/>
                <w:spacing w:val="0"/>
                <w:sz w:val="24"/>
                <w:szCs w:val="24"/>
                <w:shd w:val="clear" w:fill="FFFFFF"/>
                <w:lang w:val="en-US" w:eastAsia="zh-CN"/>
              </w:rPr>
            </w:pPr>
            <w:r>
              <w:rPr>
                <w:rFonts w:hint="eastAsia" w:cs="Times New Roman"/>
                <w:i w:val="0"/>
                <w:iCs w:val="0"/>
                <w:caps w:val="0"/>
                <w:spacing w:val="0"/>
                <w:sz w:val="24"/>
                <w:szCs w:val="24"/>
                <w:shd w:val="clear" w:fill="FFFFFF"/>
                <w:lang w:val="en-US" w:eastAsia="zh-CN"/>
              </w:rPr>
              <w:t>先导中心构建了科学有效的创新激励机制，实行核心人员持股，实行多通道晋升激励机制，建立容错机制鼓励员工大胆尝试，从多维度全面激发企业创新能力。</w:t>
            </w:r>
          </w:p>
          <w:p w14:paraId="1799CB33">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Times New Roman" w:hAnsi="Times New Roman" w:eastAsia="宋体" w:cs="Times New Roman"/>
                <w:b w:val="0"/>
                <w:bCs w:val="0"/>
                <w:i w:val="0"/>
                <w:iCs w:val="0"/>
                <w:caps w:val="0"/>
                <w:spacing w:val="0"/>
                <w:sz w:val="24"/>
                <w:szCs w:val="24"/>
                <w:shd w:val="clear" w:fill="FFFFFF"/>
                <w:lang w:val="en-US" w:eastAsia="zh-CN"/>
              </w:rPr>
            </w:pPr>
            <w:r>
              <w:rPr>
                <w:rFonts w:hint="eastAsia" w:ascii="Times New Roman" w:hAnsi="Times New Roman" w:eastAsia="宋体" w:cs="Times New Roman"/>
                <w:b w:val="0"/>
                <w:bCs w:val="0"/>
                <w:i w:val="0"/>
                <w:iCs w:val="0"/>
                <w:caps w:val="0"/>
                <w:spacing w:val="0"/>
                <w:sz w:val="24"/>
                <w:szCs w:val="24"/>
                <w:shd w:val="clear" w:fill="FFFFFF"/>
                <w:lang w:val="en-US" w:eastAsia="zh-CN"/>
              </w:rPr>
              <w:t>在物质奖励方面，先导中心核心团队人员持股16%，极大的激发了核心技术人员的创新动力，并对于提出具有实际应用价值的创新想法、成功推动技术突破或模式改进的团队或个人，给予现金或股权奖励</w:t>
            </w:r>
            <w:r>
              <w:rPr>
                <w:rFonts w:hint="eastAsia" w:cs="Times New Roman"/>
                <w:b w:val="0"/>
                <w:bCs w:val="0"/>
                <w:i w:val="0"/>
                <w:iCs w:val="0"/>
                <w:caps w:val="0"/>
                <w:spacing w:val="0"/>
                <w:sz w:val="24"/>
                <w:szCs w:val="24"/>
                <w:shd w:val="clear" w:fill="FFFFFF"/>
                <w:lang w:val="en-US" w:eastAsia="zh-CN"/>
              </w:rPr>
              <w:t>；</w:t>
            </w:r>
            <w:r>
              <w:rPr>
                <w:rFonts w:hint="eastAsia" w:ascii="Times New Roman" w:hAnsi="Times New Roman" w:eastAsia="宋体" w:cs="Times New Roman"/>
                <w:b w:val="0"/>
                <w:bCs w:val="0"/>
                <w:i w:val="0"/>
                <w:iCs w:val="0"/>
                <w:caps w:val="0"/>
                <w:spacing w:val="0"/>
                <w:sz w:val="24"/>
                <w:szCs w:val="24"/>
                <w:shd w:val="clear" w:fill="FFFFFF"/>
                <w:lang w:val="en-US" w:eastAsia="zh-CN"/>
              </w:rPr>
              <w:t>在职业发展激励上，根据个人能力及表现，为其制定清晰的职业发展规划，并提供晋升通道和培训机会。鼓励每名员工通过参与重要项目，投身与技术创新工作中，提升自身能力和经验，从而在职业生涯中取得更快的进步</w:t>
            </w:r>
            <w:r>
              <w:rPr>
                <w:rFonts w:hint="eastAsia" w:cs="Times New Roman"/>
                <w:b w:val="0"/>
                <w:bCs w:val="0"/>
                <w:i w:val="0"/>
                <w:iCs w:val="0"/>
                <w:caps w:val="0"/>
                <w:spacing w:val="0"/>
                <w:sz w:val="24"/>
                <w:szCs w:val="24"/>
                <w:shd w:val="clear" w:fill="FFFFFF"/>
                <w:lang w:val="en-US" w:eastAsia="zh-CN"/>
              </w:rPr>
              <w:t>；</w:t>
            </w:r>
            <w:r>
              <w:rPr>
                <w:rFonts w:hint="eastAsia" w:ascii="Times New Roman" w:hAnsi="Times New Roman" w:eastAsia="宋体" w:cs="Times New Roman"/>
                <w:b w:val="0"/>
                <w:bCs w:val="0"/>
                <w:i w:val="0"/>
                <w:iCs w:val="0"/>
                <w:caps w:val="0"/>
                <w:spacing w:val="0"/>
                <w:sz w:val="24"/>
                <w:szCs w:val="24"/>
                <w:shd w:val="clear" w:fill="FFFFFF"/>
                <w:lang w:val="en-US" w:eastAsia="zh-CN"/>
              </w:rPr>
              <w:t>建立了容错机制，鼓励员工大胆尝试创新，对于因创新尝试而导致的失败给予理解和宽容，让员工没有后顾之忧。这种完善的创新激励机制，极大地激发了员工的创新积极性和创造力，营造了良好的创新氛围，为企业的持续创新发展奠定了坚实基础。</w:t>
            </w:r>
          </w:p>
          <w:p w14:paraId="76926C9B">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cs="Times New Roman"/>
                <w:b w:val="0"/>
                <w:bCs w:val="0"/>
                <w:i w:val="0"/>
                <w:iCs w:val="0"/>
                <w:caps w:val="0"/>
                <w:spacing w:val="0"/>
                <w:sz w:val="24"/>
                <w:szCs w:val="24"/>
                <w:shd w:val="clear" w:fill="FFFFFF"/>
                <w:lang w:val="en-US" w:eastAsia="zh-CN"/>
              </w:rPr>
            </w:pPr>
            <w:r>
              <w:rPr>
                <w:rFonts w:hint="eastAsia" w:cs="Times New Roman"/>
                <w:i w:val="0"/>
                <w:iCs w:val="0"/>
                <w:caps w:val="0"/>
                <w:spacing w:val="0"/>
                <w:kern w:val="2"/>
                <w:sz w:val="24"/>
                <w:szCs w:val="24"/>
                <w:shd w:val="clear" w:fill="FFFFFF"/>
                <w:lang w:val="en-US" w:eastAsia="zh-CN" w:bidi="ar-SA"/>
              </w:rPr>
              <w:t>与此同时，</w:t>
            </w:r>
            <w:r>
              <w:rPr>
                <w:rFonts w:hint="eastAsia" w:ascii="Times New Roman" w:hAnsi="Times New Roman" w:eastAsia="宋体" w:cs="Times New Roman"/>
                <w:b w:val="0"/>
                <w:bCs w:val="0"/>
                <w:i w:val="0"/>
                <w:iCs w:val="0"/>
                <w:caps w:val="0"/>
                <w:spacing w:val="0"/>
                <w:sz w:val="24"/>
                <w:szCs w:val="24"/>
                <w:shd w:val="clear" w:fill="FFFFFF"/>
                <w:lang w:val="en-US" w:eastAsia="zh-CN"/>
              </w:rPr>
              <w:t>先导中心成立全资基金管理公司，对成熟技术产品采取创业基金投入，支持其以更加灵活的方式独立运行，</w:t>
            </w:r>
            <w:r>
              <w:rPr>
                <w:rFonts w:hint="eastAsia" w:cs="Times New Roman"/>
                <w:b w:val="0"/>
                <w:bCs w:val="0"/>
                <w:i w:val="0"/>
                <w:iCs w:val="0"/>
                <w:caps w:val="0"/>
                <w:spacing w:val="0"/>
                <w:sz w:val="24"/>
                <w:szCs w:val="24"/>
                <w:shd w:val="clear" w:fill="FFFFFF"/>
                <w:lang w:val="en-US" w:eastAsia="zh-CN"/>
              </w:rPr>
              <w:t>鼓励员工创新创业。</w:t>
            </w:r>
          </w:p>
          <w:p w14:paraId="221AAEFF">
            <w:pPr>
              <w:keepNext w:val="0"/>
              <w:keepLines w:val="0"/>
              <w:pageBreakBefore w:val="0"/>
              <w:widowControl w:val="0"/>
              <w:kinsoku/>
              <w:wordWrap/>
              <w:overflowPunct/>
              <w:topLinePunct w:val="0"/>
              <w:autoSpaceDE/>
              <w:autoSpaceDN/>
              <w:bidi w:val="0"/>
              <w:adjustRightInd/>
              <w:snapToGrid/>
              <w:spacing w:beforeLines="0" w:afterLines="0" w:line="400" w:lineRule="exact"/>
              <w:ind w:firstLine="482" w:firstLineChars="200"/>
              <w:jc w:val="left"/>
              <w:textAlignment w:val="auto"/>
              <w:rPr>
                <w:rFonts w:hint="default" w:cs="Times New Roman"/>
                <w:b/>
                <w:bCs/>
                <w:i w:val="0"/>
                <w:iCs w:val="0"/>
                <w:caps w:val="0"/>
                <w:spacing w:val="0"/>
                <w:sz w:val="24"/>
                <w:szCs w:val="24"/>
                <w:shd w:val="clear" w:fill="FFFFFF"/>
                <w:lang w:val="en-US" w:eastAsia="zh-CN"/>
              </w:rPr>
            </w:pPr>
            <w:r>
              <w:rPr>
                <w:rFonts w:hint="eastAsia" w:cs="Times New Roman"/>
                <w:b/>
                <w:bCs/>
                <w:i w:val="0"/>
                <w:iCs w:val="0"/>
                <w:caps w:val="0"/>
                <w:spacing w:val="0"/>
                <w:sz w:val="24"/>
                <w:szCs w:val="24"/>
                <w:shd w:val="clear" w:fill="FFFFFF"/>
                <w:lang w:val="en-US" w:eastAsia="zh-CN"/>
              </w:rPr>
              <w:t>2）研发团队梯队合理，持续高研发投入，支持技术创新</w:t>
            </w:r>
          </w:p>
          <w:p w14:paraId="68DDB757">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cs="Times New Roman"/>
                <w:i w:val="0"/>
                <w:iCs w:val="0"/>
                <w:caps w:val="0"/>
                <w:spacing w:val="0"/>
                <w:sz w:val="24"/>
                <w:szCs w:val="24"/>
                <w:highlight w:val="none"/>
                <w:shd w:val="clear" w:fill="FFFFFF"/>
                <w:lang w:val="en-US" w:eastAsia="zh-CN"/>
              </w:rPr>
            </w:pPr>
            <w:r>
              <w:rPr>
                <w:rFonts w:hint="eastAsia" w:ascii="Times New Roman" w:hAnsi="Times New Roman" w:eastAsia="宋体" w:cs="Times New Roman"/>
                <w:i w:val="0"/>
                <w:iCs w:val="0"/>
                <w:caps w:val="0"/>
                <w:spacing w:val="0"/>
                <w:sz w:val="24"/>
                <w:szCs w:val="24"/>
                <w:highlight w:val="none"/>
                <w:shd w:val="clear" w:fill="FFFFFF"/>
                <w:lang w:val="en-US" w:eastAsia="zh-CN"/>
              </w:rPr>
              <w:t>先导中心目前人员58人，其中研发人员37人，占比63.79%。</w:t>
            </w:r>
            <w:r>
              <w:rPr>
                <w:rFonts w:hint="eastAsia" w:cs="Times New Roman"/>
                <w:i w:val="0"/>
                <w:iCs w:val="0"/>
                <w:caps w:val="0"/>
                <w:spacing w:val="0"/>
                <w:sz w:val="24"/>
                <w:szCs w:val="24"/>
                <w:highlight w:val="none"/>
                <w:shd w:val="clear" w:fill="FFFFFF"/>
                <w:lang w:val="en-US" w:eastAsia="zh-CN"/>
              </w:rPr>
              <w:t>建设了以院士、行业专家为主的顾问团队、国家青千、优青、领军、青推等高端人才为团队带头人的研发团队，对研发方向的正确与前沿给予监督。按照技术方向不同，建立了九支“科学家+工程师”创新团队，保障研发成果的顺利产业化。</w:t>
            </w:r>
            <w:r>
              <w:rPr>
                <w:rFonts w:hint="eastAsia" w:ascii="Times New Roman" w:hAnsi="Times New Roman" w:eastAsia="宋体" w:cs="Times New Roman"/>
                <w:i w:val="0"/>
                <w:iCs w:val="0"/>
                <w:caps w:val="0"/>
                <w:spacing w:val="0"/>
                <w:sz w:val="24"/>
                <w:szCs w:val="24"/>
                <w:highlight w:val="none"/>
                <w:shd w:val="clear" w:fill="FFFFFF"/>
                <w:lang w:val="en-US" w:eastAsia="zh-CN"/>
              </w:rPr>
              <w:t>近三年，先导中心累计研发投入2188万元，年均研发投入占比47.56%</w:t>
            </w:r>
            <w:r>
              <w:rPr>
                <w:rFonts w:hint="eastAsia" w:cs="Times New Roman"/>
                <w:i w:val="0"/>
                <w:iCs w:val="0"/>
                <w:caps w:val="0"/>
                <w:spacing w:val="0"/>
                <w:sz w:val="24"/>
                <w:szCs w:val="24"/>
                <w:highlight w:val="none"/>
                <w:shd w:val="clear" w:fill="FFFFFF"/>
                <w:lang w:val="en-US" w:eastAsia="zh-CN"/>
              </w:rPr>
              <w:t>，具体研发投入情况见表5-1.</w:t>
            </w:r>
          </w:p>
          <w:p w14:paraId="3821270C">
            <w:pPr>
              <w:widowControl w:val="0"/>
              <w:numPr>
                <w:ilvl w:val="0"/>
                <w:numId w:val="0"/>
              </w:numPr>
              <w:spacing w:line="440" w:lineRule="exact"/>
              <w:jc w:val="center"/>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表5-1 2021-2023年先导中心研发投入情况表</w:t>
            </w: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3"/>
              <w:gridCol w:w="1815"/>
              <w:gridCol w:w="1893"/>
              <w:gridCol w:w="1762"/>
              <w:gridCol w:w="1973"/>
            </w:tblGrid>
            <w:tr w14:paraId="58EA2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 w:type="pct"/>
                  <w:vAlign w:val="center"/>
                </w:tcPr>
                <w:p w14:paraId="32BBD6F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年度</w:t>
                  </w:r>
                </w:p>
              </w:tc>
              <w:tc>
                <w:tcPr>
                  <w:tcW w:w="1064" w:type="pct"/>
                  <w:vAlign w:val="center"/>
                </w:tcPr>
                <w:p w14:paraId="44F3864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营业收入</w:t>
                  </w:r>
                </w:p>
                <w:p w14:paraId="0393F98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/万元</w:t>
                  </w:r>
                </w:p>
              </w:tc>
              <w:tc>
                <w:tcPr>
                  <w:tcW w:w="1110" w:type="pct"/>
                  <w:vAlign w:val="center"/>
                </w:tcPr>
                <w:p w14:paraId="5DE6D6E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研发投入金额/万元</w:t>
                  </w:r>
                </w:p>
              </w:tc>
              <w:tc>
                <w:tcPr>
                  <w:tcW w:w="1033" w:type="pct"/>
                  <w:vAlign w:val="center"/>
                </w:tcPr>
                <w:p w14:paraId="0A24402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研发投入占比/%</w:t>
                  </w:r>
                </w:p>
              </w:tc>
              <w:tc>
                <w:tcPr>
                  <w:tcW w:w="1156" w:type="pct"/>
                  <w:vAlign w:val="center"/>
                </w:tcPr>
                <w:p w14:paraId="2358F2F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近三年研发投入平均占比/%</w:t>
                  </w:r>
                </w:p>
              </w:tc>
            </w:tr>
            <w:tr w14:paraId="03E22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 w:type="pct"/>
                  <w:vAlign w:val="center"/>
                </w:tcPr>
                <w:p w14:paraId="6D36ABE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2021年</w:t>
                  </w:r>
                </w:p>
              </w:tc>
              <w:tc>
                <w:tcPr>
                  <w:tcW w:w="1064" w:type="pct"/>
                  <w:vAlign w:val="center"/>
                </w:tcPr>
                <w:p w14:paraId="60E0B83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1571.64</w:t>
                  </w:r>
                </w:p>
              </w:tc>
              <w:tc>
                <w:tcPr>
                  <w:tcW w:w="1110" w:type="pct"/>
                  <w:vAlign w:val="center"/>
                </w:tcPr>
                <w:p w14:paraId="0521EF5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647.60</w:t>
                  </w:r>
                </w:p>
              </w:tc>
              <w:tc>
                <w:tcPr>
                  <w:tcW w:w="1033" w:type="pct"/>
                  <w:vAlign w:val="center"/>
                </w:tcPr>
                <w:p w14:paraId="2E777ED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42.67</w:t>
                  </w:r>
                </w:p>
              </w:tc>
              <w:tc>
                <w:tcPr>
                  <w:tcW w:w="1156" w:type="pct"/>
                  <w:vMerge w:val="restart"/>
                  <w:vAlign w:val="center"/>
                </w:tcPr>
                <w:p w14:paraId="6609C16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47.56</w:t>
                  </w:r>
                </w:p>
              </w:tc>
            </w:tr>
            <w:tr w14:paraId="33F6D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 w:type="pct"/>
                  <w:vAlign w:val="center"/>
                </w:tcPr>
                <w:p w14:paraId="142F8A7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2022年</w:t>
                  </w:r>
                </w:p>
              </w:tc>
              <w:tc>
                <w:tcPr>
                  <w:tcW w:w="1064" w:type="pct"/>
                  <w:vAlign w:val="center"/>
                </w:tcPr>
                <w:p w14:paraId="3FD06E4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1352.01</w:t>
                  </w:r>
                </w:p>
              </w:tc>
              <w:tc>
                <w:tcPr>
                  <w:tcW w:w="1110" w:type="pct"/>
                  <w:vAlign w:val="center"/>
                </w:tcPr>
                <w:p w14:paraId="00CE772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834.15</w:t>
                  </w:r>
                </w:p>
              </w:tc>
              <w:tc>
                <w:tcPr>
                  <w:tcW w:w="1033" w:type="pct"/>
                  <w:vAlign w:val="center"/>
                </w:tcPr>
                <w:p w14:paraId="28965DB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61.70</w:t>
                  </w:r>
                </w:p>
              </w:tc>
              <w:tc>
                <w:tcPr>
                  <w:tcW w:w="1156" w:type="pct"/>
                  <w:vMerge w:val="continue"/>
                  <w:vAlign w:val="center"/>
                </w:tcPr>
                <w:p w14:paraId="36F3061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p>
              </w:tc>
            </w:tr>
            <w:tr w14:paraId="124CC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 w:type="pct"/>
                  <w:vAlign w:val="center"/>
                </w:tcPr>
                <w:p w14:paraId="577B374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2023年</w:t>
                  </w:r>
                </w:p>
              </w:tc>
              <w:tc>
                <w:tcPr>
                  <w:tcW w:w="1064" w:type="pct"/>
                  <w:vAlign w:val="center"/>
                </w:tcPr>
                <w:p w14:paraId="04BC2C1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1844.22</w:t>
                  </w:r>
                </w:p>
              </w:tc>
              <w:tc>
                <w:tcPr>
                  <w:tcW w:w="1110" w:type="pct"/>
                  <w:vAlign w:val="center"/>
                </w:tcPr>
                <w:p w14:paraId="253BD76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706.58</w:t>
                  </w:r>
                </w:p>
              </w:tc>
              <w:tc>
                <w:tcPr>
                  <w:tcW w:w="1033" w:type="pct"/>
                  <w:vAlign w:val="center"/>
                </w:tcPr>
                <w:p w14:paraId="2854B13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38.31</w:t>
                  </w:r>
                </w:p>
              </w:tc>
              <w:tc>
                <w:tcPr>
                  <w:tcW w:w="1156" w:type="pct"/>
                  <w:vMerge w:val="continue"/>
                  <w:vAlign w:val="center"/>
                </w:tcPr>
                <w:p w14:paraId="2104182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p>
              </w:tc>
            </w:tr>
          </w:tbl>
          <w:p w14:paraId="0DAE967D">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cs="Times New Roman"/>
                <w:b w:val="0"/>
                <w:bCs w:val="0"/>
                <w:i w:val="0"/>
                <w:iCs w:val="0"/>
                <w:caps w:val="0"/>
                <w:spacing w:val="0"/>
                <w:sz w:val="24"/>
                <w:szCs w:val="24"/>
                <w:highlight w:val="none"/>
                <w:shd w:val="clear" w:fill="FFFFFF"/>
                <w:lang w:val="en-US" w:eastAsia="zh-CN"/>
              </w:rPr>
            </w:pPr>
            <w:r>
              <w:rPr>
                <w:rFonts w:hint="eastAsia" w:ascii="Times New Roman" w:hAnsi="Times New Roman" w:eastAsia="宋体" w:cs="Times New Roman"/>
                <w:b w:val="0"/>
                <w:bCs w:val="0"/>
                <w:i w:val="0"/>
                <w:iCs w:val="0"/>
                <w:caps w:val="0"/>
                <w:spacing w:val="0"/>
                <w:sz w:val="24"/>
                <w:szCs w:val="24"/>
                <w:highlight w:val="none"/>
                <w:shd w:val="clear" w:fill="FFFFFF"/>
                <w:lang w:val="en-US" w:eastAsia="zh-CN"/>
              </w:rPr>
              <w:t>在完善的创新激励机制下，先导中心累计申请专利71件，其中授权发明专利51件、实用新型专利6件。发表论文11篇，其中SCI6篇</w:t>
            </w:r>
            <w:r>
              <w:rPr>
                <w:rFonts w:hint="eastAsia" w:cs="Times New Roman"/>
                <w:b w:val="0"/>
                <w:bCs w:val="0"/>
                <w:i w:val="0"/>
                <w:iCs w:val="0"/>
                <w:caps w:val="0"/>
                <w:spacing w:val="0"/>
                <w:sz w:val="24"/>
                <w:szCs w:val="24"/>
                <w:highlight w:val="none"/>
                <w:shd w:val="clear" w:fill="FFFFFF"/>
                <w:lang w:val="en-US" w:eastAsia="zh-CN"/>
              </w:rPr>
              <w:t>，</w:t>
            </w:r>
            <w:r>
              <w:rPr>
                <w:rFonts w:hint="eastAsia" w:ascii="Times New Roman" w:hAnsi="Times New Roman" w:eastAsia="宋体" w:cs="Times New Roman"/>
                <w:i w:val="0"/>
                <w:iCs w:val="0"/>
                <w:caps w:val="0"/>
                <w:spacing w:val="0"/>
                <w:sz w:val="24"/>
                <w:szCs w:val="24"/>
                <w:highlight w:val="none"/>
                <w:shd w:val="clear" w:fill="FFFFFF"/>
                <w:lang w:val="en-US" w:eastAsia="zh-CN"/>
              </w:rPr>
              <w:t>设立省级以上创新平台8个</w:t>
            </w:r>
            <w:r>
              <w:rPr>
                <w:rFonts w:hint="eastAsia" w:cs="Times New Roman"/>
                <w:b w:val="0"/>
                <w:bCs w:val="0"/>
                <w:i w:val="0"/>
                <w:iCs w:val="0"/>
                <w:caps w:val="0"/>
                <w:spacing w:val="0"/>
                <w:sz w:val="24"/>
                <w:szCs w:val="24"/>
                <w:highlight w:val="none"/>
                <w:shd w:val="clear" w:fill="FFFFFF"/>
                <w:lang w:val="en-US" w:eastAsia="zh-CN"/>
              </w:rPr>
              <w:t>，具体建设省级以上创新平台情况详见表5-2。</w:t>
            </w:r>
          </w:p>
          <w:p w14:paraId="785DDA8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表5-2先导中心设立省级以上创新平台清单表</w:t>
            </w: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4865"/>
              <w:gridCol w:w="1706"/>
              <w:gridCol w:w="1220"/>
            </w:tblGrid>
            <w:tr w14:paraId="78259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1" w:type="pct"/>
                </w:tcPr>
                <w:p w14:paraId="7E1D9F3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序号</w:t>
                  </w:r>
                </w:p>
              </w:tc>
              <w:tc>
                <w:tcPr>
                  <w:tcW w:w="2852" w:type="pct"/>
                </w:tcPr>
                <w:p w14:paraId="2FE5B5C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名称</w:t>
                  </w:r>
                </w:p>
              </w:tc>
              <w:tc>
                <w:tcPr>
                  <w:tcW w:w="1000" w:type="pct"/>
                  <w:vAlign w:val="top"/>
                </w:tcPr>
                <w:p w14:paraId="252A4AB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主管单位</w:t>
                  </w:r>
                </w:p>
              </w:tc>
              <w:tc>
                <w:tcPr>
                  <w:tcW w:w="715" w:type="pct"/>
                  <w:vAlign w:val="top"/>
                </w:tcPr>
                <w:p w14:paraId="0C540C4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获批时间</w:t>
                  </w:r>
                </w:p>
              </w:tc>
            </w:tr>
            <w:tr w14:paraId="56964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1" w:type="pct"/>
                </w:tcPr>
                <w:p w14:paraId="0ED72D3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2852" w:type="pct"/>
                </w:tcPr>
                <w:p w14:paraId="6CBC0C5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国家XXXX示范基地</w:t>
                  </w:r>
                </w:p>
              </w:tc>
              <w:tc>
                <w:tcPr>
                  <w:tcW w:w="1000" w:type="pct"/>
                  <w:vAlign w:val="top"/>
                </w:tcPr>
                <w:p w14:paraId="60C2FC6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国家科技部</w:t>
                  </w:r>
                </w:p>
              </w:tc>
              <w:tc>
                <w:tcPr>
                  <w:tcW w:w="715" w:type="pct"/>
                  <w:vAlign w:val="top"/>
                </w:tcPr>
                <w:p w14:paraId="429A28D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2023年</w:t>
                  </w:r>
                </w:p>
              </w:tc>
            </w:tr>
            <w:tr w14:paraId="48189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1" w:type="pct"/>
                  <w:vAlign w:val="top"/>
                </w:tcPr>
                <w:p w14:paraId="41C2179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2852" w:type="pct"/>
                  <w:vAlign w:val="top"/>
                </w:tcPr>
                <w:p w14:paraId="71E5528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宽禁带半导体国家工程中心第一共建单位</w:t>
                  </w:r>
                </w:p>
              </w:tc>
              <w:tc>
                <w:tcPr>
                  <w:tcW w:w="1000" w:type="pct"/>
                  <w:vAlign w:val="top"/>
                </w:tcPr>
                <w:p w14:paraId="1EF3377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国家发改委</w:t>
                  </w:r>
                </w:p>
              </w:tc>
              <w:tc>
                <w:tcPr>
                  <w:tcW w:w="715" w:type="pct"/>
                  <w:vAlign w:val="top"/>
                </w:tcPr>
                <w:p w14:paraId="4FA97F2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2019年</w:t>
                  </w:r>
                </w:p>
              </w:tc>
            </w:tr>
            <w:tr w14:paraId="2672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1" w:type="pct"/>
                  <w:vAlign w:val="top"/>
                </w:tcPr>
                <w:p w14:paraId="366C173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2852" w:type="pct"/>
                  <w:vAlign w:val="top"/>
                </w:tcPr>
                <w:p w14:paraId="40DDA11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国家集成电路产教融合创新平台共建单位</w:t>
                  </w:r>
                </w:p>
              </w:tc>
              <w:tc>
                <w:tcPr>
                  <w:tcW w:w="1000" w:type="pct"/>
                  <w:vAlign w:val="top"/>
                </w:tcPr>
                <w:p w14:paraId="67D1B13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国家教育部</w:t>
                  </w:r>
                </w:p>
              </w:tc>
              <w:tc>
                <w:tcPr>
                  <w:tcW w:w="715" w:type="pct"/>
                  <w:vAlign w:val="top"/>
                </w:tcPr>
                <w:p w14:paraId="2551046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2021年</w:t>
                  </w:r>
                </w:p>
              </w:tc>
            </w:tr>
            <w:tr w14:paraId="2A28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1" w:type="pct"/>
                </w:tcPr>
                <w:p w14:paraId="7961FBA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2852" w:type="pct"/>
                </w:tcPr>
                <w:p w14:paraId="095FF00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default" w:ascii="仿宋" w:hAnsi="仿宋" w:eastAsia="仿宋" w:cs="仿宋"/>
                      <w:kern w:val="2"/>
                      <w:sz w:val="21"/>
                      <w:szCs w:val="21"/>
                      <w:highlight w:val="none"/>
                      <w:vertAlign w:val="baseline"/>
                      <w:lang w:val="en-US" w:eastAsia="zh-CN" w:bidi="ar-SA"/>
                    </w:rPr>
                    <w:t>陕西省服务型制造示范平台</w:t>
                  </w:r>
                </w:p>
              </w:tc>
              <w:tc>
                <w:tcPr>
                  <w:tcW w:w="1000" w:type="pct"/>
                  <w:vAlign w:val="top"/>
                </w:tcPr>
                <w:p w14:paraId="48268BA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陕西省工信厅</w:t>
                  </w:r>
                </w:p>
              </w:tc>
              <w:tc>
                <w:tcPr>
                  <w:tcW w:w="715" w:type="pct"/>
                  <w:vAlign w:val="top"/>
                </w:tcPr>
                <w:p w14:paraId="1FD721D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2022年</w:t>
                  </w:r>
                </w:p>
              </w:tc>
            </w:tr>
            <w:tr w14:paraId="26F76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1" w:type="pct"/>
                  <w:vAlign w:val="top"/>
                </w:tcPr>
                <w:p w14:paraId="3CDA813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2852" w:type="pct"/>
                  <w:vAlign w:val="top"/>
                </w:tcPr>
                <w:p w14:paraId="553745B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default" w:ascii="仿宋" w:hAnsi="仿宋" w:eastAsia="仿宋" w:cs="仿宋"/>
                      <w:kern w:val="2"/>
                      <w:sz w:val="21"/>
                      <w:szCs w:val="21"/>
                      <w:highlight w:val="none"/>
                      <w:vertAlign w:val="baseline"/>
                      <w:lang w:val="en-US" w:eastAsia="zh-CN" w:bidi="ar-SA"/>
                    </w:rPr>
                    <w:t>陕西省半导体与集成电路共性技术研发平台</w:t>
                  </w:r>
                </w:p>
              </w:tc>
              <w:tc>
                <w:tcPr>
                  <w:tcW w:w="1000" w:type="pct"/>
                  <w:vAlign w:val="top"/>
                </w:tcPr>
                <w:p w14:paraId="7424746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陕西省科技厅</w:t>
                  </w:r>
                </w:p>
              </w:tc>
              <w:tc>
                <w:tcPr>
                  <w:tcW w:w="715" w:type="pct"/>
                  <w:vAlign w:val="top"/>
                </w:tcPr>
                <w:p w14:paraId="2046579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2021年</w:t>
                  </w:r>
                </w:p>
              </w:tc>
            </w:tr>
            <w:tr w14:paraId="562FE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1" w:type="pct"/>
                  <w:vAlign w:val="top"/>
                </w:tcPr>
                <w:p w14:paraId="427CCEE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6</w:t>
                  </w:r>
                </w:p>
              </w:tc>
              <w:tc>
                <w:tcPr>
                  <w:tcW w:w="2852" w:type="pct"/>
                  <w:vAlign w:val="top"/>
                </w:tcPr>
                <w:p w14:paraId="6FE96B6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陕西省中小企业公共服务平台</w:t>
                  </w:r>
                </w:p>
              </w:tc>
              <w:tc>
                <w:tcPr>
                  <w:tcW w:w="1000" w:type="pct"/>
                  <w:vAlign w:val="top"/>
                </w:tcPr>
                <w:p w14:paraId="7D36FD7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陕西省工信厅</w:t>
                  </w:r>
                </w:p>
              </w:tc>
              <w:tc>
                <w:tcPr>
                  <w:tcW w:w="715" w:type="pct"/>
                  <w:vAlign w:val="top"/>
                </w:tcPr>
                <w:p w14:paraId="7B60871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2021年</w:t>
                  </w:r>
                </w:p>
              </w:tc>
            </w:tr>
            <w:tr w14:paraId="7CDE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1" w:type="pct"/>
                </w:tcPr>
                <w:p w14:paraId="3FE65AF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7</w:t>
                  </w:r>
                </w:p>
              </w:tc>
              <w:tc>
                <w:tcPr>
                  <w:tcW w:w="2852" w:type="pct"/>
                </w:tcPr>
                <w:p w14:paraId="177DDB1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陕西省半导体器件制造业创新中心</w:t>
                  </w:r>
                </w:p>
              </w:tc>
              <w:tc>
                <w:tcPr>
                  <w:tcW w:w="1000" w:type="pct"/>
                  <w:vAlign w:val="top"/>
                </w:tcPr>
                <w:p w14:paraId="506D83B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陕西省工信厅</w:t>
                  </w:r>
                </w:p>
              </w:tc>
              <w:tc>
                <w:tcPr>
                  <w:tcW w:w="715" w:type="pct"/>
                  <w:vAlign w:val="top"/>
                </w:tcPr>
                <w:p w14:paraId="253FEB4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2019年</w:t>
                  </w:r>
                </w:p>
              </w:tc>
            </w:tr>
            <w:tr w14:paraId="22204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1" w:type="pct"/>
                </w:tcPr>
                <w:p w14:paraId="4522BF7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8</w:t>
                  </w:r>
                </w:p>
              </w:tc>
              <w:tc>
                <w:tcPr>
                  <w:tcW w:w="2852" w:type="pct"/>
                </w:tcPr>
                <w:p w14:paraId="1B861AE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陕西省半导体先导产业创新中心</w:t>
                  </w:r>
                </w:p>
              </w:tc>
              <w:tc>
                <w:tcPr>
                  <w:tcW w:w="1000" w:type="pct"/>
                  <w:vAlign w:val="top"/>
                </w:tcPr>
                <w:p w14:paraId="6A98504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陕西省发改委</w:t>
                  </w:r>
                </w:p>
              </w:tc>
              <w:tc>
                <w:tcPr>
                  <w:tcW w:w="715" w:type="pct"/>
                  <w:vAlign w:val="top"/>
                </w:tcPr>
                <w:p w14:paraId="74B2313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2019年</w:t>
                  </w:r>
                </w:p>
              </w:tc>
            </w:tr>
          </w:tbl>
          <w:p w14:paraId="34BFD7BF">
            <w:pPr>
              <w:keepNext w:val="0"/>
              <w:keepLines w:val="0"/>
              <w:pageBreakBefore w:val="0"/>
              <w:widowControl w:val="0"/>
              <w:kinsoku/>
              <w:wordWrap/>
              <w:overflowPunct/>
              <w:topLinePunct w:val="0"/>
              <w:autoSpaceDE/>
              <w:autoSpaceDN/>
              <w:bidi w:val="0"/>
              <w:adjustRightInd/>
              <w:snapToGrid/>
              <w:spacing w:beforeLines="0" w:afterLines="0" w:line="400" w:lineRule="exact"/>
              <w:ind w:firstLine="482" w:firstLineChars="200"/>
              <w:jc w:val="left"/>
              <w:textAlignment w:val="auto"/>
              <w:rPr>
                <w:rFonts w:hint="default" w:cs="Times New Roman"/>
                <w:b/>
                <w:bCs/>
                <w:i w:val="0"/>
                <w:iCs w:val="0"/>
                <w:caps w:val="0"/>
                <w:spacing w:val="0"/>
                <w:sz w:val="24"/>
                <w:szCs w:val="24"/>
                <w:shd w:val="clear" w:fill="FFFFFF"/>
                <w:lang w:val="en-US" w:eastAsia="zh-CN"/>
              </w:rPr>
            </w:pPr>
            <w:r>
              <w:rPr>
                <w:rFonts w:hint="eastAsia" w:cs="Times New Roman"/>
                <w:b/>
                <w:bCs/>
                <w:i w:val="0"/>
                <w:iCs w:val="0"/>
                <w:caps w:val="0"/>
                <w:spacing w:val="0"/>
                <w:sz w:val="24"/>
                <w:szCs w:val="24"/>
                <w:shd w:val="clear" w:fill="FFFFFF"/>
                <w:lang w:val="en-US" w:eastAsia="zh-CN"/>
              </w:rPr>
              <w:t>3）“产学研”联合创新，攻克“卡脖子”技术难题</w:t>
            </w:r>
          </w:p>
          <w:p w14:paraId="6EC2B5EE">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cs="Times New Roman"/>
                <w:b w:val="0"/>
                <w:bCs w:val="0"/>
                <w:i w:val="0"/>
                <w:iCs w:val="0"/>
                <w:caps w:val="0"/>
                <w:spacing w:val="0"/>
                <w:sz w:val="24"/>
                <w:szCs w:val="24"/>
                <w:highlight w:val="none"/>
                <w:shd w:val="clear" w:fill="FFFFFF"/>
                <w:lang w:val="en-US" w:eastAsia="zh-CN"/>
              </w:rPr>
            </w:pPr>
            <w:r>
              <w:rPr>
                <w:rFonts w:hint="eastAsia" w:cs="Times New Roman"/>
                <w:i w:val="0"/>
                <w:iCs w:val="0"/>
                <w:caps w:val="0"/>
                <w:spacing w:val="0"/>
                <w:sz w:val="24"/>
                <w:szCs w:val="24"/>
                <w:highlight w:val="none"/>
                <w:shd w:val="clear" w:fill="FFFFFF"/>
                <w:lang w:val="en-US" w:eastAsia="zh-CN"/>
              </w:rPr>
              <w:t>公司面向国家重大需求，面对亟待解决的国家“卡脖子”技术难题，联合西安电子科技大学、西安交通大学、西北工业大学、西安理工大学等微电子专项优势院校，联合开展技术攻关共</w:t>
            </w:r>
            <w:r>
              <w:rPr>
                <w:rFonts w:hint="eastAsia" w:ascii="Times New Roman" w:hAnsi="Times New Roman" w:eastAsia="宋体" w:cs="Times New Roman"/>
                <w:i w:val="0"/>
                <w:iCs w:val="0"/>
                <w:caps w:val="0"/>
                <w:spacing w:val="0"/>
                <w:sz w:val="24"/>
                <w:szCs w:val="24"/>
                <w:highlight w:val="none"/>
                <w:shd w:val="clear" w:fill="FFFFFF"/>
                <w:lang w:val="en-US" w:eastAsia="zh-CN"/>
              </w:rPr>
              <w:t>5项</w:t>
            </w:r>
            <w:r>
              <w:rPr>
                <w:rFonts w:hint="eastAsia" w:cs="Times New Roman"/>
                <w:b w:val="0"/>
                <w:bCs w:val="0"/>
                <w:i w:val="0"/>
                <w:iCs w:val="0"/>
                <w:caps w:val="0"/>
                <w:spacing w:val="0"/>
                <w:sz w:val="24"/>
                <w:szCs w:val="24"/>
                <w:highlight w:val="none"/>
                <w:shd w:val="clear" w:fill="FFFFFF"/>
                <w:lang w:val="en-US" w:eastAsia="zh-CN"/>
              </w:rPr>
              <w:t>，详见表5-3所示。</w:t>
            </w:r>
          </w:p>
          <w:p w14:paraId="5FEAD13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表5-3先导中心联合攻关技术项目清单表</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5499"/>
              <w:gridCol w:w="2247"/>
            </w:tblGrid>
            <w:tr w14:paraId="41AF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9" w:type="pct"/>
                  <w:vAlign w:val="center"/>
                </w:tcPr>
                <w:p w14:paraId="1923FD2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序号</w:t>
                  </w:r>
                </w:p>
              </w:tc>
              <w:tc>
                <w:tcPr>
                  <w:tcW w:w="3223" w:type="pct"/>
                  <w:vAlign w:val="center"/>
                </w:tcPr>
                <w:p w14:paraId="278216C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技术攻关名称</w:t>
                  </w:r>
                </w:p>
              </w:tc>
              <w:tc>
                <w:tcPr>
                  <w:tcW w:w="1317" w:type="pct"/>
                  <w:vAlign w:val="center"/>
                </w:tcPr>
                <w:p w14:paraId="1FB284F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合作单位</w:t>
                  </w:r>
                </w:p>
              </w:tc>
            </w:tr>
            <w:tr w14:paraId="13F9C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 w:type="pct"/>
                  <w:vAlign w:val="center"/>
                </w:tcPr>
                <w:p w14:paraId="51E20C0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3223" w:type="pct"/>
                  <w:vAlign w:val="center"/>
                </w:tcPr>
                <w:p w14:paraId="4ECA16E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高压大电流碳化硅电力电子器件</w:t>
                  </w:r>
                </w:p>
              </w:tc>
              <w:tc>
                <w:tcPr>
                  <w:tcW w:w="1317" w:type="pct"/>
                  <w:vAlign w:val="center"/>
                </w:tcPr>
                <w:p w14:paraId="3A7D441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西安电子科技大学</w:t>
                  </w:r>
                </w:p>
              </w:tc>
            </w:tr>
            <w:tr w14:paraId="7223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 w:type="pct"/>
                  <w:vAlign w:val="center"/>
                </w:tcPr>
                <w:p w14:paraId="7102EA6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223" w:type="pct"/>
                  <w:vAlign w:val="center"/>
                </w:tcPr>
                <w:p w14:paraId="2BA93F6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金刚石电子级单晶制备与探测器应用关键技术研究</w:t>
                  </w:r>
                </w:p>
              </w:tc>
              <w:tc>
                <w:tcPr>
                  <w:tcW w:w="1317" w:type="pct"/>
                  <w:vAlign w:val="center"/>
                </w:tcPr>
                <w:p w14:paraId="604E5D3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西安电子科技大学、西北工业大学、中海油</w:t>
                  </w:r>
                </w:p>
              </w:tc>
            </w:tr>
            <w:tr w14:paraId="1FFE0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 w:type="pct"/>
                  <w:vAlign w:val="center"/>
                </w:tcPr>
                <w:p w14:paraId="01D815C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3223" w:type="pct"/>
                  <w:vAlign w:val="center"/>
                </w:tcPr>
                <w:p w14:paraId="2457D15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第三代半导体可靠性测试测试表征方法</w:t>
                  </w:r>
                </w:p>
              </w:tc>
              <w:tc>
                <w:tcPr>
                  <w:tcW w:w="1317" w:type="pct"/>
                  <w:vAlign w:val="center"/>
                </w:tcPr>
                <w:p w14:paraId="130A6A9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西安交通大学</w:t>
                  </w:r>
                </w:p>
              </w:tc>
            </w:tr>
            <w:tr w14:paraId="179EE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 w:type="pct"/>
                  <w:vAlign w:val="center"/>
                </w:tcPr>
                <w:p w14:paraId="45E4968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223" w:type="pct"/>
                  <w:vAlign w:val="center"/>
                </w:tcPr>
                <w:p w14:paraId="5A7F9B5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具有结温调控功能的SIC MOSFET智能驱动技术研究</w:t>
                  </w:r>
                </w:p>
              </w:tc>
              <w:tc>
                <w:tcPr>
                  <w:tcW w:w="1317" w:type="pct"/>
                  <w:vAlign w:val="center"/>
                </w:tcPr>
                <w:p w14:paraId="61F8438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西安理工大学</w:t>
                  </w:r>
                </w:p>
              </w:tc>
            </w:tr>
            <w:tr w14:paraId="04AF2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 w:type="pct"/>
                  <w:vAlign w:val="center"/>
                </w:tcPr>
                <w:p w14:paraId="730189E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3223" w:type="pct"/>
                  <w:vAlign w:val="center"/>
                </w:tcPr>
                <w:p w14:paraId="64A8E34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大尺寸高质量Si基GaN薄膜材料及异质结构外延生长研究</w:t>
                  </w:r>
                </w:p>
              </w:tc>
              <w:tc>
                <w:tcPr>
                  <w:tcW w:w="1317" w:type="pct"/>
                  <w:vAlign w:val="center"/>
                </w:tcPr>
                <w:p w14:paraId="7E9201E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西安电子科技大学</w:t>
                  </w:r>
                </w:p>
              </w:tc>
            </w:tr>
          </w:tbl>
          <w:p w14:paraId="40596ED2">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Times New Roman" w:hAnsi="Times New Roman" w:eastAsia="宋体" w:cs="Times New Roman"/>
                <w:i w:val="0"/>
                <w:iCs w:val="0"/>
                <w:caps w:val="0"/>
                <w:spacing w:val="0"/>
                <w:sz w:val="24"/>
                <w:szCs w:val="24"/>
                <w:shd w:val="clear" w:fill="FFFFFF"/>
                <w:lang w:val="en-US" w:eastAsia="zh-CN"/>
              </w:rPr>
            </w:pPr>
            <w:r>
              <w:rPr>
                <w:rFonts w:hint="eastAsia" w:cs="Times New Roman"/>
                <w:i w:val="0"/>
                <w:iCs w:val="0"/>
                <w:caps w:val="0"/>
                <w:spacing w:val="0"/>
                <w:sz w:val="24"/>
                <w:szCs w:val="24"/>
                <w:shd w:val="clear" w:fill="FFFFFF"/>
                <w:lang w:val="en-US" w:eastAsia="zh-CN"/>
              </w:rPr>
              <w:t>先导中心作为陕西省半导体产业成果转化中心，</w:t>
            </w:r>
            <w:r>
              <w:rPr>
                <w:rFonts w:hint="eastAsia" w:ascii="Times New Roman" w:hAnsi="Times New Roman" w:eastAsia="宋体" w:cs="Times New Roman"/>
                <w:i w:val="0"/>
                <w:iCs w:val="0"/>
                <w:caps w:val="0"/>
                <w:spacing w:val="0"/>
                <w:sz w:val="24"/>
                <w:szCs w:val="24"/>
                <w:shd w:val="clear" w:fill="FFFFFF"/>
                <w:lang w:val="en-US" w:eastAsia="zh-CN"/>
              </w:rPr>
              <w:t>承担省级以上科技计划项目7项。极大的提升了企业的创新能力，推动陕西省半导体及集成电路产业高质量发展做出了突出贡献。具体清单</w:t>
            </w:r>
            <w:r>
              <w:rPr>
                <w:rFonts w:hint="eastAsia" w:cs="Times New Roman"/>
                <w:i w:val="0"/>
                <w:iCs w:val="0"/>
                <w:caps w:val="0"/>
                <w:spacing w:val="0"/>
                <w:sz w:val="24"/>
                <w:szCs w:val="24"/>
                <w:shd w:val="clear" w:fill="FFFFFF"/>
                <w:lang w:val="en-US" w:eastAsia="zh-CN"/>
              </w:rPr>
              <w:t>见</w:t>
            </w:r>
            <w:r>
              <w:rPr>
                <w:rFonts w:hint="eastAsia" w:ascii="Times New Roman" w:hAnsi="Times New Roman" w:eastAsia="宋体" w:cs="Times New Roman"/>
                <w:i w:val="0"/>
                <w:iCs w:val="0"/>
                <w:caps w:val="0"/>
                <w:spacing w:val="0"/>
                <w:sz w:val="24"/>
                <w:szCs w:val="24"/>
                <w:shd w:val="clear" w:fill="FFFFFF"/>
                <w:lang w:val="en-US" w:eastAsia="zh-CN"/>
              </w:rPr>
              <w:t>表5-4所示。</w:t>
            </w:r>
          </w:p>
          <w:p w14:paraId="3ED13D2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表5-4先导中心承担省级以上科技计划项目清单表</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5809"/>
              <w:gridCol w:w="1947"/>
            </w:tblGrid>
            <w:tr w14:paraId="15508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tcPr>
                <w:p w14:paraId="08034E0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序号</w:t>
                  </w:r>
                </w:p>
              </w:tc>
              <w:tc>
                <w:tcPr>
                  <w:tcW w:w="3404" w:type="pct"/>
                </w:tcPr>
                <w:p w14:paraId="76CDD1E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项目名称</w:t>
                  </w:r>
                </w:p>
              </w:tc>
              <w:tc>
                <w:tcPr>
                  <w:tcW w:w="1141" w:type="pct"/>
                </w:tcPr>
                <w:p w14:paraId="024927D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主管单位</w:t>
                  </w:r>
                </w:p>
              </w:tc>
            </w:tr>
            <w:tr w14:paraId="0ACFF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tcPr>
                <w:p w14:paraId="1EE8266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1</w:t>
                  </w:r>
                </w:p>
              </w:tc>
              <w:tc>
                <w:tcPr>
                  <w:tcW w:w="3404" w:type="pct"/>
                </w:tcPr>
                <w:p w14:paraId="065647C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高可靠性碳化硅MOSFET器件中试生产关键技术研究</w:t>
                  </w:r>
                </w:p>
              </w:tc>
              <w:tc>
                <w:tcPr>
                  <w:tcW w:w="1141" w:type="pct"/>
                </w:tcPr>
                <w:p w14:paraId="48DFE45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国家科技部</w:t>
                  </w:r>
                </w:p>
              </w:tc>
            </w:tr>
            <w:tr w14:paraId="18E83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tcPr>
                <w:p w14:paraId="4A9CD8B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2</w:t>
                  </w:r>
                </w:p>
              </w:tc>
              <w:tc>
                <w:tcPr>
                  <w:tcW w:w="3404" w:type="pct"/>
                </w:tcPr>
                <w:p w14:paraId="5E2826C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两链融合重大专项-高端集成电路与先进半导体器件专项</w:t>
                  </w:r>
                </w:p>
              </w:tc>
              <w:tc>
                <w:tcPr>
                  <w:tcW w:w="1141" w:type="pct"/>
                </w:tcPr>
                <w:p w14:paraId="55E0CC5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陕西省科技厅</w:t>
                  </w:r>
                </w:p>
              </w:tc>
            </w:tr>
            <w:tr w14:paraId="65AB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tcPr>
                <w:p w14:paraId="0B2E739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3</w:t>
                  </w:r>
                </w:p>
              </w:tc>
              <w:tc>
                <w:tcPr>
                  <w:tcW w:w="3404" w:type="pct"/>
                </w:tcPr>
                <w:p w14:paraId="6D36DDD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第三代半导体碳化硅基高压大功率器件的关键技术研究</w:t>
                  </w:r>
                </w:p>
              </w:tc>
              <w:tc>
                <w:tcPr>
                  <w:tcW w:w="1141" w:type="pct"/>
                </w:tcPr>
                <w:p w14:paraId="714586D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陕西省科技厅</w:t>
                  </w:r>
                </w:p>
              </w:tc>
            </w:tr>
            <w:tr w14:paraId="5FA60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tcPr>
                <w:p w14:paraId="2D5D2A9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4</w:t>
                  </w:r>
                </w:p>
              </w:tc>
              <w:tc>
                <w:tcPr>
                  <w:tcW w:w="3404" w:type="pct"/>
                </w:tcPr>
                <w:p w14:paraId="5B4AD7B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大尺寸氮化铝衬底材料装备开发及关键工艺研究项目</w:t>
                  </w:r>
                </w:p>
              </w:tc>
              <w:tc>
                <w:tcPr>
                  <w:tcW w:w="1141" w:type="pct"/>
                </w:tcPr>
                <w:p w14:paraId="4122190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广东省科技厅</w:t>
                  </w:r>
                </w:p>
              </w:tc>
            </w:tr>
            <w:tr w14:paraId="7DAF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tcPr>
                <w:p w14:paraId="4FC09D3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5</w:t>
                  </w:r>
                </w:p>
              </w:tc>
              <w:tc>
                <w:tcPr>
                  <w:tcW w:w="3404" w:type="pct"/>
                </w:tcPr>
                <w:p w14:paraId="7AD6B8F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金刚石电子级单晶制备与探测器应用关键技术研究</w:t>
                  </w:r>
                </w:p>
              </w:tc>
              <w:tc>
                <w:tcPr>
                  <w:tcW w:w="1141" w:type="pct"/>
                </w:tcPr>
                <w:p w14:paraId="5D07419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陕西省工信厅</w:t>
                  </w:r>
                </w:p>
              </w:tc>
            </w:tr>
            <w:tr w14:paraId="4EAFB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tcPr>
                <w:p w14:paraId="5B3B582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6</w:t>
                  </w:r>
                </w:p>
              </w:tc>
              <w:tc>
                <w:tcPr>
                  <w:tcW w:w="3404" w:type="pct"/>
                </w:tcPr>
                <w:p w14:paraId="429492E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大尺寸高质量Si基GaN薄膜材料及异质结构外延生长研究</w:t>
                  </w:r>
                </w:p>
              </w:tc>
              <w:tc>
                <w:tcPr>
                  <w:tcW w:w="1141" w:type="pct"/>
                </w:tcPr>
                <w:p w14:paraId="7802664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陕西省工信厅</w:t>
                  </w:r>
                </w:p>
              </w:tc>
            </w:tr>
            <w:tr w14:paraId="307B3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tcPr>
                <w:p w14:paraId="14981DE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7</w:t>
                  </w:r>
                </w:p>
              </w:tc>
              <w:tc>
                <w:tcPr>
                  <w:tcW w:w="3404" w:type="pct"/>
                </w:tcPr>
                <w:p w14:paraId="3E17242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车用SiC MOSFET器件技术研究</w:t>
                  </w:r>
                </w:p>
              </w:tc>
              <w:tc>
                <w:tcPr>
                  <w:tcW w:w="1141" w:type="pct"/>
                </w:tcPr>
                <w:p w14:paraId="62CEFDA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21"/>
                      <w:szCs w:val="21"/>
                      <w:highlight w:val="none"/>
                      <w:vertAlign w:val="baseline"/>
                      <w:lang w:val="en-US" w:eastAsia="zh-CN" w:bidi="ar-SA"/>
                    </w:rPr>
                  </w:pPr>
                  <w:r>
                    <w:rPr>
                      <w:rFonts w:hint="eastAsia" w:ascii="仿宋" w:hAnsi="仿宋" w:eastAsia="仿宋" w:cs="仿宋"/>
                      <w:kern w:val="2"/>
                      <w:sz w:val="21"/>
                      <w:szCs w:val="21"/>
                      <w:highlight w:val="none"/>
                      <w:vertAlign w:val="baseline"/>
                      <w:lang w:val="en-US" w:eastAsia="zh-CN" w:bidi="ar-SA"/>
                    </w:rPr>
                    <w:t>陕西省工信厅</w:t>
                  </w:r>
                </w:p>
              </w:tc>
            </w:tr>
          </w:tbl>
          <w:p w14:paraId="16C4093E">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401A124E">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7EBFED32">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7C9FAEB8">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74F61FC1">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77A2613A">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1D090801">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633230A6">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69F01344">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68B6523B">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5439125B">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5EC4363C">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2A2CD002">
            <w:pPr>
              <w:widowControl w:val="0"/>
              <w:numPr>
                <w:ilvl w:val="0"/>
                <w:numId w:val="0"/>
              </w:numPr>
              <w:spacing w:line="240" w:lineRule="auto"/>
              <w:ind w:left="0" w:leftChars="0" w:firstLine="0" w:firstLineChars="0"/>
              <w:jc w:val="both"/>
              <w:rPr>
                <w:rFonts w:hint="eastAsia" w:ascii="宋体" w:hAnsi="宋体" w:eastAsia="宋体" w:cs="宋体"/>
                <w:kern w:val="2"/>
                <w:sz w:val="24"/>
                <w:szCs w:val="20"/>
                <w:lang w:val="en-US" w:eastAsia="zh-CN" w:bidi="ar-SA"/>
              </w:rPr>
            </w:pPr>
          </w:p>
          <w:p w14:paraId="618A2AE7">
            <w:pPr>
              <w:widowControl w:val="0"/>
              <w:numPr>
                <w:ilvl w:val="0"/>
                <w:numId w:val="0"/>
              </w:numPr>
              <w:spacing w:line="440" w:lineRule="exact"/>
              <w:jc w:val="both"/>
              <w:rPr>
                <w:rFonts w:hint="default" w:ascii="宋体" w:hAnsi="宋体" w:cs="宋体"/>
                <w:kern w:val="2"/>
                <w:sz w:val="24"/>
                <w:szCs w:val="20"/>
                <w:lang w:val="en-US" w:eastAsia="zh-CN" w:bidi="ar-SA"/>
              </w:rPr>
            </w:pPr>
            <w:r>
              <w:rPr>
                <w:rFonts w:hint="eastAsia" w:ascii="宋体" w:hAnsi="宋体" w:cs="宋体"/>
                <w:kern w:val="2"/>
                <w:sz w:val="24"/>
                <w:szCs w:val="20"/>
                <w:lang w:val="en-US" w:eastAsia="zh-CN" w:bidi="ar-SA"/>
              </w:rPr>
              <w:t>（3）经济效益情况。</w:t>
            </w:r>
          </w:p>
          <w:p w14:paraId="1379A8B7">
            <w:pPr>
              <w:keepNext w:val="0"/>
              <w:keepLines w:val="0"/>
              <w:pageBreakBefore w:val="0"/>
              <w:widowControl w:val="0"/>
              <w:kinsoku/>
              <w:wordWrap/>
              <w:overflowPunct/>
              <w:topLinePunct w:val="0"/>
              <w:autoSpaceDE/>
              <w:autoSpaceDN/>
              <w:bidi w:val="0"/>
              <w:adjustRightInd/>
              <w:snapToGrid/>
              <w:spacing w:beforeLines="0" w:afterLines="0" w:line="400" w:lineRule="exact"/>
              <w:ind w:firstLine="482" w:firstLineChars="200"/>
              <w:jc w:val="left"/>
              <w:textAlignment w:val="auto"/>
              <w:rPr>
                <w:rFonts w:hint="default"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1）创办首批专业孵化器，奠定产业优势集群基础</w:t>
            </w:r>
          </w:p>
          <w:p w14:paraId="27068D6F">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cs="宋体"/>
                <w:sz w:val="24"/>
                <w:szCs w:val="24"/>
                <w:highlight w:val="none"/>
                <w:lang w:eastAsia="zh-CN"/>
              </w:rPr>
            </w:pPr>
            <w:r>
              <w:rPr>
                <w:rFonts w:hint="eastAsia" w:ascii="宋体" w:hAnsi="宋体" w:eastAsia="宋体" w:cs="宋体"/>
                <w:sz w:val="24"/>
                <w:szCs w:val="24"/>
                <w:highlight w:val="none"/>
                <w:lang w:val="en-US" w:eastAsia="zh-CN"/>
              </w:rPr>
              <w:t>候选人投身半导体产业近三十年，始终坚持推动陕西半导体与集成电路重点产业链高质量发展。</w:t>
            </w:r>
            <w:r>
              <w:rPr>
                <w:rFonts w:hint="eastAsia" w:ascii="宋体" w:hAnsi="宋体" w:eastAsia="宋体" w:cs="宋体"/>
                <w:sz w:val="24"/>
                <w:szCs w:val="24"/>
                <w:highlight w:val="none"/>
              </w:rPr>
              <w:t>自</w:t>
            </w:r>
            <w:r>
              <w:rPr>
                <w:rFonts w:hint="default" w:ascii="宋体" w:hAnsi="宋体" w:eastAsia="宋体" w:cs="宋体"/>
                <w:sz w:val="24"/>
                <w:szCs w:val="24"/>
                <w:highlight w:val="none"/>
              </w:rPr>
              <w:t>2002</w:t>
            </w:r>
            <w:r>
              <w:rPr>
                <w:rFonts w:hint="eastAsia" w:ascii="宋体" w:hAnsi="宋体" w:eastAsia="宋体" w:cs="宋体"/>
                <w:sz w:val="24"/>
                <w:szCs w:val="24"/>
                <w:highlight w:val="none"/>
              </w:rPr>
              <w:t>年起，</w:t>
            </w:r>
            <w:r>
              <w:rPr>
                <w:rFonts w:hint="eastAsia" w:ascii="宋体" w:hAnsi="宋体" w:eastAsia="宋体" w:cs="宋体"/>
                <w:sz w:val="24"/>
                <w:szCs w:val="24"/>
                <w:highlight w:val="none"/>
                <w:lang w:val="en-US" w:eastAsia="zh-CN"/>
              </w:rPr>
              <w:t>候选人</w:t>
            </w:r>
            <w:r>
              <w:rPr>
                <w:rFonts w:hint="eastAsia" w:ascii="宋体" w:hAnsi="宋体" w:eastAsia="宋体" w:cs="宋体"/>
                <w:sz w:val="24"/>
                <w:szCs w:val="24"/>
                <w:highlight w:val="none"/>
              </w:rPr>
              <w:t>创办了首批国家级集成电路专业孵化器，主持参与三星、奕斯伟等国内外数十家龙头企业的引进和培育，担任多家全国行业组织领导职务，为国内多地提供集成电路产业战略咨询和规划</w:t>
            </w:r>
            <w:r>
              <w:rPr>
                <w:rFonts w:hint="eastAsia" w:ascii="宋体" w:hAnsi="宋体" w:cs="宋体"/>
                <w:sz w:val="24"/>
                <w:szCs w:val="24"/>
                <w:highlight w:val="none"/>
                <w:lang w:eastAsia="zh-CN"/>
              </w:rPr>
              <w:t>。</w:t>
            </w:r>
          </w:p>
          <w:p w14:paraId="3CA20DC1">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400" w:lineRule="exact"/>
              <w:ind w:lef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候选人先后</w:t>
            </w:r>
            <w:r>
              <w:rPr>
                <w:rFonts w:hint="eastAsia" w:ascii="宋体" w:hAnsi="宋体" w:eastAsia="宋体" w:cs="宋体"/>
                <w:sz w:val="24"/>
                <w:szCs w:val="24"/>
                <w:highlight w:val="none"/>
                <w:lang w:val="en-US" w:eastAsia="zh-CN"/>
              </w:rPr>
              <w:t>累计辅导三星、美光、奕斯伟、华天、陕西电子信息集团等七个重大产业投资项目，均一次性通过国家窗口指导，</w:t>
            </w:r>
            <w:r>
              <w:rPr>
                <w:rFonts w:hint="eastAsia" w:ascii="宋体" w:hAnsi="宋体" w:eastAsia="宋体" w:cs="宋体"/>
                <w:b/>
                <w:bCs/>
                <w:sz w:val="24"/>
                <w:szCs w:val="24"/>
                <w:highlight w:val="none"/>
                <w:lang w:val="en-US" w:eastAsia="zh-CN"/>
              </w:rPr>
              <w:t>项目总投资额达到</w:t>
            </w:r>
            <w:r>
              <w:rPr>
                <w:rFonts w:hint="eastAsia" w:ascii="宋体" w:hAnsi="宋体" w:cs="宋体"/>
                <w:b/>
                <w:bCs/>
                <w:sz w:val="24"/>
                <w:szCs w:val="24"/>
                <w:highlight w:val="none"/>
                <w:lang w:val="en-US" w:eastAsia="zh-CN"/>
              </w:rPr>
              <w:t>450</w:t>
            </w:r>
            <w:r>
              <w:rPr>
                <w:rFonts w:hint="eastAsia" w:ascii="宋体" w:hAnsi="宋体" w:eastAsia="宋体" w:cs="宋体"/>
                <w:b/>
                <w:bCs/>
                <w:sz w:val="24"/>
                <w:szCs w:val="24"/>
                <w:highlight w:val="none"/>
                <w:lang w:val="en-US" w:eastAsia="zh-CN"/>
              </w:rPr>
              <w:t>亿元。</w:t>
            </w:r>
          </w:p>
          <w:p w14:paraId="262A05D7">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cs="宋体"/>
                <w:b/>
                <w:bCs/>
                <w:sz w:val="24"/>
                <w:szCs w:val="24"/>
                <w:highlight w:val="none"/>
                <w:lang w:val="en-US" w:eastAsia="zh-CN"/>
              </w:rPr>
            </w:pPr>
            <w:r>
              <w:rPr>
                <w:rFonts w:hint="eastAsia" w:ascii="宋体" w:hAnsi="宋体" w:eastAsia="宋体" w:cs="宋体"/>
                <w:sz w:val="24"/>
                <w:szCs w:val="24"/>
                <w:highlight w:val="none"/>
              </w:rPr>
              <w:t>通过</w:t>
            </w:r>
            <w:r>
              <w:rPr>
                <w:rFonts w:hint="eastAsia" w:ascii="宋体" w:hAnsi="宋体" w:eastAsia="宋体" w:cs="宋体"/>
                <w:sz w:val="24"/>
                <w:szCs w:val="24"/>
                <w:highlight w:val="none"/>
                <w:lang w:val="en-US" w:eastAsia="zh-CN"/>
              </w:rPr>
              <w:t>候选人</w:t>
            </w:r>
            <w:r>
              <w:rPr>
                <w:rFonts w:hint="eastAsia" w:ascii="宋体" w:hAnsi="宋体" w:eastAsia="宋体" w:cs="宋体"/>
                <w:sz w:val="24"/>
                <w:szCs w:val="24"/>
                <w:highlight w:val="none"/>
              </w:rPr>
              <w:t>多年在</w:t>
            </w:r>
            <w:r>
              <w:rPr>
                <w:rFonts w:hint="eastAsia" w:ascii="宋体" w:hAnsi="宋体" w:eastAsia="宋体" w:cs="宋体"/>
                <w:sz w:val="24"/>
                <w:szCs w:val="24"/>
                <w:highlight w:val="none"/>
                <w:lang w:val="en-US" w:eastAsia="zh-CN"/>
              </w:rPr>
              <w:t>半导体及</w:t>
            </w:r>
            <w:r>
              <w:rPr>
                <w:rFonts w:hint="eastAsia" w:ascii="宋体" w:hAnsi="宋体" w:eastAsia="宋体" w:cs="宋体"/>
                <w:sz w:val="24"/>
                <w:szCs w:val="24"/>
                <w:highlight w:val="none"/>
              </w:rPr>
              <w:t>集成电路产业的深耕，助力全产业链打造，形成了国家优势产业集群，</w:t>
            </w:r>
            <w:r>
              <w:rPr>
                <w:rFonts w:hint="default" w:ascii="宋体" w:hAnsi="宋体" w:eastAsia="宋体" w:cs="宋体"/>
                <w:b/>
                <w:bCs/>
                <w:sz w:val="24"/>
                <w:szCs w:val="24"/>
                <w:highlight w:val="none"/>
              </w:rPr>
              <w:t xml:space="preserve">2019 </w:t>
            </w:r>
            <w:r>
              <w:rPr>
                <w:rFonts w:hint="eastAsia" w:ascii="宋体" w:hAnsi="宋体" w:eastAsia="宋体" w:cs="宋体"/>
                <w:b/>
                <w:bCs/>
                <w:sz w:val="24"/>
                <w:szCs w:val="24"/>
                <w:highlight w:val="none"/>
              </w:rPr>
              <w:t>年西安集成电路产业集群被列入国家第一批战略新兴产业集群，</w:t>
            </w:r>
            <w:r>
              <w:rPr>
                <w:rFonts w:hint="default" w:ascii="宋体" w:hAnsi="宋体" w:eastAsia="宋体" w:cs="宋体"/>
                <w:b/>
                <w:bCs/>
                <w:sz w:val="24"/>
                <w:szCs w:val="24"/>
                <w:highlight w:val="none"/>
              </w:rPr>
              <w:t>202</w:t>
            </w: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rPr>
              <w:t>年陕西半导体产值规模位</w:t>
            </w:r>
            <w:r>
              <w:rPr>
                <w:rFonts w:hint="eastAsia" w:ascii="宋体" w:hAnsi="宋体" w:eastAsia="宋体" w:cs="宋体"/>
                <w:b/>
                <w:bCs/>
                <w:sz w:val="24"/>
                <w:szCs w:val="24"/>
                <w:highlight w:val="none"/>
                <w:lang w:val="en-US" w:eastAsia="zh-CN"/>
              </w:rPr>
              <w:t>列全国第六</w:t>
            </w:r>
            <w:r>
              <w:rPr>
                <w:rFonts w:hint="eastAsia" w:ascii="宋体" w:hAnsi="宋体" w:cs="宋体"/>
                <w:b/>
                <w:bCs/>
                <w:sz w:val="24"/>
                <w:szCs w:val="24"/>
                <w:highlight w:val="none"/>
                <w:lang w:val="en-US" w:eastAsia="zh-CN"/>
              </w:rPr>
              <w:t>，位列全国前列。</w:t>
            </w:r>
          </w:p>
          <w:p w14:paraId="0D1FE7D8">
            <w:pPr>
              <w:keepNext w:val="0"/>
              <w:keepLines w:val="0"/>
              <w:pageBreakBefore w:val="0"/>
              <w:widowControl w:val="0"/>
              <w:kinsoku/>
              <w:wordWrap/>
              <w:overflowPunct/>
              <w:topLinePunct w:val="0"/>
              <w:autoSpaceDE/>
              <w:autoSpaceDN/>
              <w:bidi w:val="0"/>
              <w:adjustRightInd/>
              <w:snapToGrid/>
              <w:spacing w:beforeLines="0" w:afterLines="0" w:line="400" w:lineRule="exact"/>
              <w:ind w:firstLine="482" w:firstLineChars="200"/>
              <w:jc w:val="left"/>
              <w:textAlignment w:val="auto"/>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2）发挥链主企业带动作用，引领产业技术升级</w:t>
            </w:r>
          </w:p>
          <w:p w14:paraId="0A21FDA9">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候选人作为陕西省半导体及集成电路产业链链主企业负责人，为实现我省在第</w:t>
            </w:r>
          </w:p>
          <w:p w14:paraId="4B07E60E">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三代半导体领域的超越，不断探索“产学研”合作模式、实现前沿技术成果转化应用，带领团队研制出国内领先的电力电子器件20 余款，模块及模组系列产品于2022年进入市场，可实现国产化替代。完成碳化硅芯片核心技术100%转化，实现功率模块、模组应用研发的产业化，已在新能源汽车、充电桩、储能等应用领域应用。其中碳化硅双极结型晶体管项目攻克了发射区宽度对正向模式下电流集边效应的影响，基于双极性晶体管搭建的驱动电路可填补国内空白。</w:t>
            </w:r>
          </w:p>
          <w:p w14:paraId="719EECB3">
            <w:pPr>
              <w:keepNext w:val="0"/>
              <w:keepLines w:val="0"/>
              <w:pageBreakBefore w:val="0"/>
              <w:widowControl w:val="0"/>
              <w:kinsoku/>
              <w:wordWrap/>
              <w:overflowPunct/>
              <w:topLinePunct w:val="0"/>
              <w:autoSpaceDE/>
              <w:autoSpaceDN/>
              <w:bidi w:val="0"/>
              <w:adjustRightInd/>
              <w:snapToGrid/>
              <w:spacing w:beforeLines="0" w:afterLines="0" w:line="400" w:lineRule="exact"/>
              <w:ind w:firstLine="482" w:firstLineChars="200"/>
              <w:jc w:val="left"/>
              <w:textAlignment w:val="auto"/>
              <w:rPr>
                <w:rFonts w:hint="default"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3）搭建产业公共服务平台，构建产业生态体系</w:t>
            </w:r>
          </w:p>
          <w:p w14:paraId="1C6AF917">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作为国家“芯火”双创平台（基地），先导中心建设了“6+N”的产业公共服务平台，从研发、测试、工艺、人才、双创、金融等全方面打造全产业链服务生态。</w:t>
            </w:r>
            <w:r>
              <w:rPr>
                <w:rFonts w:hint="eastAsia" w:ascii="宋体" w:hAnsi="宋体" w:eastAsia="宋体" w:cs="宋体"/>
                <w:b/>
                <w:bCs/>
                <w:sz w:val="24"/>
                <w:szCs w:val="24"/>
                <w:highlight w:val="none"/>
                <w:lang w:val="en-US" w:eastAsia="zh-CN"/>
              </w:rPr>
              <w:t>累计服务企业超100家/次，服务企业产值超千亿。</w:t>
            </w:r>
          </w:p>
          <w:p w14:paraId="1A9B3725">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针对产业高端人才紧缺，工程人才不足的现在，先导中心建设国家XXXX示范基地，引进高端人才13人</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次，引进</w:t>
            </w:r>
            <w:r>
              <w:rPr>
                <w:rFonts w:hint="eastAsia" w:ascii="宋体" w:hAnsi="宋体" w:cs="宋体"/>
                <w:sz w:val="24"/>
                <w:szCs w:val="24"/>
                <w:highlight w:val="none"/>
                <w:lang w:val="en-US" w:eastAsia="zh-CN"/>
              </w:rPr>
              <w:t>国际</w:t>
            </w:r>
            <w:r>
              <w:rPr>
                <w:rFonts w:hint="eastAsia" w:ascii="宋体" w:hAnsi="宋体" w:eastAsia="宋体" w:cs="宋体"/>
                <w:sz w:val="24"/>
                <w:szCs w:val="24"/>
                <w:highlight w:val="none"/>
                <w:lang w:val="en-US" w:eastAsia="zh-CN"/>
              </w:rPr>
              <w:t>前沿技术；同时在全国范围内开展“树芯计划”人才培训，累计培养工程型人才超8000人，有效地缓解半导体领域人才短缺的问题</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在双创工作开展方面，累计孵化50多家企业，部分企业估值过亿，发展初具规模。2023年服务企业产值突破2亿元，新增本地就业岗位超过300个，预计今年服务企业产值将超2.5亿元。为本地集成电路领域持续培养后备力量，助力半导体产业高质量发展。</w:t>
            </w:r>
          </w:p>
          <w:p w14:paraId="09D4E690">
            <w:pPr>
              <w:keepNext w:val="0"/>
              <w:keepLines w:val="0"/>
              <w:pageBreakBefore w:val="0"/>
              <w:widowControl w:val="0"/>
              <w:kinsoku/>
              <w:wordWrap/>
              <w:overflowPunct/>
              <w:topLinePunct w:val="0"/>
              <w:autoSpaceDE/>
              <w:autoSpaceDN/>
              <w:bidi w:val="0"/>
              <w:adjustRightInd/>
              <w:snapToGrid/>
              <w:spacing w:beforeLines="0" w:afterLines="0" w:line="400" w:lineRule="exact"/>
              <w:ind w:firstLine="482" w:firstLineChars="200"/>
              <w:jc w:val="left"/>
              <w:textAlignment w:val="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4）促进企业快速发展，带动千亿市场规模</w:t>
            </w:r>
          </w:p>
          <w:p w14:paraId="6091B82B">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近三年，先导中心营业收入复合增长率超50%，企业实现快速发展。累计实现收入约5000万元，累计纳税超100万元。</w:t>
            </w:r>
            <w:r>
              <w:rPr>
                <w:rFonts w:hint="eastAsia" w:ascii="宋体" w:hAnsi="宋体" w:cs="宋体"/>
                <w:sz w:val="24"/>
                <w:szCs w:val="24"/>
                <w:highlight w:val="none"/>
                <w:lang w:val="en-US" w:eastAsia="zh-CN"/>
              </w:rPr>
              <w:t>未来五年，先导中心年增长率将超50%，到2028年，预计营收将超2亿元，税收超2000万元，就业人员达200人。</w:t>
            </w:r>
          </w:p>
          <w:p w14:paraId="7F13829C">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default"/>
                <w:lang w:val="en-US" w:eastAsia="zh-CN"/>
              </w:rPr>
            </w:pPr>
            <w:r>
              <w:rPr>
                <w:rFonts w:hint="eastAsia" w:ascii="宋体" w:hAnsi="宋体" w:eastAsia="宋体" w:cs="宋体"/>
                <w:sz w:val="24"/>
                <w:szCs w:val="24"/>
                <w:highlight w:val="none"/>
                <w:lang w:val="en-US" w:eastAsia="zh-CN"/>
              </w:rPr>
              <w:t>后期，在持续完善公共服务平台，提升特色服务能力，成为我国半导体产业成果转化基地的基础上，先导中心将凭借核心技术优势和技术创新能力，构建产品的不可替代性，实现传统半导体技术的瓶颈突破，在新能源汽车、充电桩、储能、智能电网、轨道交通等领域进行大规模应用，并催生新的经济增长点，预计将产生千亿级的市场规模。</w:t>
            </w:r>
          </w:p>
        </w:tc>
      </w:tr>
      <w:tr w14:paraId="588B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4" w:hRule="atLeast"/>
        </w:trPr>
        <w:tc>
          <w:tcPr>
            <w:tcW w:w="8755" w:type="dxa"/>
            <w:noWrap w:val="0"/>
            <w:vAlign w:val="top"/>
          </w:tcPr>
          <w:p w14:paraId="601F776F">
            <w:pPr>
              <w:widowControl w:val="0"/>
              <w:numPr>
                <w:ilvl w:val="0"/>
                <w:numId w:val="0"/>
              </w:numPr>
              <w:spacing w:line="360" w:lineRule="auto"/>
              <w:ind w:firstLine="0" w:firstLineChars="0"/>
              <w:jc w:val="both"/>
              <w:rPr>
                <w:rFonts w:hint="eastAsia" w:ascii="宋体" w:hAnsi="宋体" w:eastAsia="宋体" w:cs="宋体"/>
                <w:snapToGrid/>
                <w:kern w:val="2"/>
                <w:sz w:val="21"/>
                <w:szCs w:val="21"/>
                <w:lang w:val="en-US" w:eastAsia="zh-CN" w:bidi="ar-SA"/>
              </w:rPr>
            </w:pPr>
            <w:r>
              <w:rPr>
                <w:rFonts w:hint="eastAsia" w:ascii="宋体" w:hAnsi="宋体" w:eastAsia="宋体" w:cs="宋体"/>
                <w:snapToGrid/>
                <w:kern w:val="2"/>
                <w:sz w:val="21"/>
                <w:szCs w:val="21"/>
                <w:lang w:val="en-US" w:eastAsia="zh-CN" w:bidi="ar-SA"/>
              </w:rPr>
              <w:t>（4）示范作用情况。</w:t>
            </w:r>
          </w:p>
          <w:p w14:paraId="12F12A5C">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2017年，候选人在郝跃院士的发起下，创办了陕西半导体先导技术中心有限公司，为我省探索第三代半导体产业成果转化中开创技术新路径，在产业链、创新链、资金链和政策链“四链深度融合”方面做出了突出贡献。</w:t>
            </w:r>
          </w:p>
          <w:p w14:paraId="24CDCEAB">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400" w:lineRule="exact"/>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1）</w:t>
            </w:r>
            <w:r>
              <w:rPr>
                <w:rFonts w:hint="eastAsia" w:ascii="宋体" w:hAnsi="宋体" w:eastAsia="宋体" w:cs="宋体"/>
                <w:b/>
                <w:bCs/>
                <w:sz w:val="24"/>
                <w:szCs w:val="24"/>
                <w:lang w:val="en-US" w:eastAsia="zh-CN"/>
              </w:rPr>
              <w:t>开展关键核心技术攻关，引领产业技术升级</w:t>
            </w:r>
          </w:p>
          <w:p w14:paraId="318C1B5B">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lang w:val="en-US" w:eastAsia="zh-CN"/>
              </w:rPr>
              <w:t>作为陕西省半导体与集成电路共性技术研发平台的负责人，</w:t>
            </w:r>
            <w:r>
              <w:rPr>
                <w:rFonts w:hint="eastAsia" w:ascii="宋体" w:hAnsi="宋体" w:cs="宋体"/>
                <w:sz w:val="24"/>
                <w:szCs w:val="24"/>
                <w:lang w:val="en-US" w:eastAsia="zh-CN"/>
              </w:rPr>
              <w:t>候选人持续开展针</w:t>
            </w:r>
            <w:r>
              <w:rPr>
                <w:rFonts w:hint="eastAsia" w:ascii="宋体" w:hAnsi="宋体" w:eastAsia="宋体" w:cs="宋体"/>
                <w:sz w:val="24"/>
                <w:szCs w:val="24"/>
                <w:lang w:val="en-US" w:eastAsia="zh-CN"/>
              </w:rPr>
              <w:t>对第三代半导体的前沿共性技术开展学术攻关及产业应用研究，以市场需求为牵引，引领行业技术升级。2020年，在陕西省委省政府的支持下，候选人筹建陕西省半导体器件制造业创新中心，专注第三代半导体功率器件和芯片的设计、工艺、制造以及封测，积极布局氮化镓、碳化硅研发中试线建设，对实现第三代半导体领域创新科研成果商业化量产，建设完善的第三代半导体功率器件产业生态、引领行业技术升级，提升行业核心竞争力具有重大的推</w:t>
            </w:r>
            <w:r>
              <w:rPr>
                <w:rFonts w:hint="eastAsia" w:ascii="宋体" w:hAnsi="宋体" w:eastAsia="宋体" w:cs="宋体"/>
                <w:b w:val="0"/>
                <w:bCs w:val="0"/>
                <w:sz w:val="24"/>
                <w:szCs w:val="24"/>
                <w:highlight w:val="none"/>
                <w:lang w:val="en-US" w:eastAsia="zh-CN"/>
              </w:rPr>
              <w:t>动意义。</w:t>
            </w:r>
          </w:p>
          <w:p w14:paraId="4E6A640C">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400" w:lineRule="exact"/>
              <w:ind w:firstLine="482" w:firstLineChars="200"/>
              <w:jc w:val="left"/>
              <w:textAlignment w:val="auto"/>
              <w:rPr>
                <w:rFonts w:hint="default" w:ascii="宋体" w:hAnsi="宋体" w:eastAsia="宋体" w:cs="宋体"/>
                <w:sz w:val="24"/>
                <w:szCs w:val="24"/>
                <w:lang w:val="en-US" w:eastAsia="zh-CN"/>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引育企业，助力产业结构优化，提升核心竞争力</w:t>
            </w:r>
          </w:p>
          <w:p w14:paraId="19F50ABE">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候选人自2000年起，多次参与陕西省、西安市集成电路重大项目论证，负责本地中小企业引进和培育，策划了龙腾、华迅、智多晶多个本地企业数十个项目并负责其融资和前期筹建。参与引进了数家国内外大型公司，如华天科技、奕斯伟、华新丽华、英特尔、三星、英飞凌、美光和应用材料等。其引育的企业近些年在陕西半导体产业产值贡献占70%以上，其中引育的设计企业，2023年在陕西前十名设计业企业中占据6席</w:t>
            </w:r>
            <w:r>
              <w:rPr>
                <w:rFonts w:hint="eastAsia" w:ascii="宋体" w:hAnsi="宋体" w:cs="宋体"/>
                <w:b w:val="0"/>
                <w:bCs w:val="0"/>
                <w:sz w:val="24"/>
                <w:szCs w:val="24"/>
                <w:highlight w:val="none"/>
                <w:lang w:val="en-US" w:eastAsia="zh-CN"/>
              </w:rPr>
              <w:t>；</w:t>
            </w:r>
            <w:r>
              <w:rPr>
                <w:rFonts w:hint="eastAsia" w:ascii="宋体" w:hAnsi="宋体" w:eastAsia="宋体" w:cs="宋体"/>
                <w:b w:val="0"/>
                <w:bCs w:val="0"/>
                <w:sz w:val="24"/>
                <w:szCs w:val="24"/>
                <w:highlight w:val="none"/>
                <w:lang w:val="en-US" w:eastAsia="zh-CN"/>
              </w:rPr>
              <w:t>作为主要推动者之一，推进了陕西省第一支集成电路产业投资基金的设立，并推动了重要项目建设。作为核心推动者，促进了陕西省半导体照明与光伏产业链的形成与初期发展。</w:t>
            </w:r>
          </w:p>
          <w:p w14:paraId="31C37BB9">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400" w:lineRule="exact"/>
              <w:ind w:left="0" w:leftChars="0" w:firstLine="482" w:firstLineChars="200"/>
              <w:jc w:val="left"/>
              <w:textAlignment w:val="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3）开创商业新模式，助力陕西创新驱动发展</w:t>
            </w:r>
          </w:p>
          <w:p w14:paraId="30122FD3">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候选人</w:t>
            </w:r>
            <w:r>
              <w:rPr>
                <w:rFonts w:hint="eastAsia" w:ascii="宋体" w:hAnsi="宋体" w:eastAsia="宋体" w:cs="宋体"/>
                <w:b w:val="0"/>
                <w:bCs w:val="0"/>
                <w:sz w:val="24"/>
                <w:szCs w:val="24"/>
                <w:highlight w:val="none"/>
                <w:lang w:val="en-US" w:eastAsia="zh-CN"/>
              </w:rPr>
              <w:t>开创</w:t>
            </w:r>
            <w:r>
              <w:rPr>
                <w:rFonts w:hint="eastAsia" w:ascii="宋体" w:hAnsi="宋体" w:cs="宋体"/>
                <w:b w:val="0"/>
                <w:bCs w:val="0"/>
                <w:sz w:val="24"/>
                <w:szCs w:val="24"/>
                <w:highlight w:val="none"/>
                <w:lang w:val="en-US" w:eastAsia="zh-CN"/>
              </w:rPr>
              <w:t>了</w:t>
            </w:r>
            <w:r>
              <w:rPr>
                <w:rFonts w:hint="eastAsia" w:ascii="宋体" w:hAnsi="宋体" w:eastAsia="宋体" w:cs="宋体"/>
                <w:b w:val="0"/>
                <w:bCs w:val="0"/>
                <w:sz w:val="24"/>
                <w:szCs w:val="24"/>
                <w:highlight w:val="none"/>
                <w:lang w:val="en-US" w:eastAsia="zh-CN"/>
              </w:rPr>
              <w:t>适合本地发展的商业新模式</w:t>
            </w:r>
            <w:r>
              <w:rPr>
                <w:rFonts w:hint="eastAsia" w:ascii="宋体" w:hAnsi="宋体" w:cs="宋体"/>
                <w:b w:val="0"/>
                <w:bCs w:val="0"/>
                <w:sz w:val="24"/>
                <w:szCs w:val="24"/>
                <w:highlight w:val="none"/>
                <w:lang w:val="en-US" w:eastAsia="zh-CN"/>
              </w:rPr>
              <w:t>，</w:t>
            </w:r>
            <w:r>
              <w:rPr>
                <w:rFonts w:hint="eastAsia" w:ascii="宋体" w:hAnsi="宋体" w:eastAsia="宋体" w:cs="宋体"/>
                <w:b w:val="0"/>
                <w:bCs w:val="0"/>
                <w:sz w:val="24"/>
                <w:szCs w:val="24"/>
                <w:highlight w:val="none"/>
                <w:lang w:val="en-US" w:eastAsia="zh-CN"/>
              </w:rPr>
              <w:t>为本地经济发展注入了新的活力。</w:t>
            </w:r>
          </w:p>
          <w:p w14:paraId="36BA45A0">
            <w:pPr>
              <w:keepNext w:val="0"/>
              <w:keepLines w:val="0"/>
              <w:pageBreakBefore w:val="0"/>
              <w:widowControl w:val="0"/>
              <w:kinsoku/>
              <w:wordWrap/>
              <w:overflowPunct/>
              <w:topLinePunct w:val="0"/>
              <w:autoSpaceDE/>
              <w:autoSpaceDN/>
              <w:bidi w:val="0"/>
              <w:adjustRightInd/>
              <w:snapToGrid/>
              <w:spacing w:beforeLines="0" w:afterLines="0" w:line="400" w:lineRule="exact"/>
              <w:ind w:firstLine="480" w:firstLineChars="200"/>
              <w:jc w:val="left"/>
              <w:textAlignment w:val="auto"/>
              <w:rPr>
                <w:rFonts w:hint="eastAsia"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首先</w:t>
            </w:r>
            <w:r>
              <w:rPr>
                <w:rFonts w:hint="eastAsia" w:ascii="宋体" w:hAnsi="宋体" w:eastAsia="宋体" w:cs="宋体"/>
                <w:b w:val="0"/>
                <w:bCs w:val="0"/>
                <w:sz w:val="24"/>
                <w:szCs w:val="24"/>
                <w:highlight w:val="none"/>
                <w:lang w:val="en-US" w:eastAsia="zh-CN"/>
              </w:rPr>
              <w:t>通过创建国家级开发公共服务平台，</w:t>
            </w:r>
            <w:r>
              <w:rPr>
                <w:rFonts w:hint="eastAsia" w:ascii="宋体" w:hAnsi="宋体" w:cs="宋体"/>
                <w:b w:val="0"/>
                <w:bCs w:val="0"/>
                <w:sz w:val="24"/>
                <w:szCs w:val="24"/>
                <w:highlight w:val="none"/>
                <w:lang w:val="en-US" w:eastAsia="zh-CN"/>
              </w:rPr>
              <w:t>汇聚陕西半导体高校、院所及企业科研成果，</w:t>
            </w:r>
            <w:r>
              <w:rPr>
                <w:rFonts w:hint="eastAsia" w:ascii="宋体" w:hAnsi="宋体" w:eastAsia="宋体" w:cs="宋体"/>
                <w:b w:val="0"/>
                <w:bCs w:val="0"/>
                <w:sz w:val="24"/>
                <w:szCs w:val="24"/>
                <w:highlight w:val="none"/>
                <w:lang w:val="en-US" w:eastAsia="zh-CN"/>
              </w:rPr>
              <w:t>为</w:t>
            </w:r>
            <w:r>
              <w:rPr>
                <w:rFonts w:hint="eastAsia" w:ascii="宋体" w:hAnsi="宋体" w:cs="宋体"/>
                <w:b w:val="0"/>
                <w:bCs w:val="0"/>
                <w:sz w:val="24"/>
                <w:szCs w:val="24"/>
                <w:highlight w:val="none"/>
                <w:lang w:val="en-US" w:eastAsia="zh-CN"/>
              </w:rPr>
              <w:t>相关单位</w:t>
            </w:r>
            <w:r>
              <w:rPr>
                <w:rFonts w:hint="eastAsia" w:ascii="宋体" w:hAnsi="宋体" w:eastAsia="宋体" w:cs="宋体"/>
                <w:b w:val="0"/>
                <w:bCs w:val="0"/>
                <w:sz w:val="24"/>
                <w:szCs w:val="24"/>
                <w:highlight w:val="none"/>
                <w:lang w:val="en-US" w:eastAsia="zh-CN"/>
              </w:rPr>
              <w:t>提供了涵盖全产业链的专业服务。</w:t>
            </w:r>
            <w:r>
              <w:rPr>
                <w:rFonts w:hint="eastAsia" w:ascii="宋体" w:hAnsi="宋体" w:cs="宋体"/>
                <w:b w:val="0"/>
                <w:bCs w:val="0"/>
                <w:sz w:val="24"/>
                <w:szCs w:val="24"/>
                <w:highlight w:val="none"/>
                <w:lang w:val="en-US" w:eastAsia="zh-CN"/>
              </w:rPr>
              <w:t>该平台的建设，</w:t>
            </w:r>
            <w:r>
              <w:rPr>
                <w:rFonts w:hint="eastAsia" w:ascii="宋体" w:hAnsi="宋体" w:eastAsia="宋体" w:cs="宋体"/>
                <w:b w:val="0"/>
                <w:bCs w:val="0"/>
                <w:sz w:val="24"/>
                <w:szCs w:val="24"/>
                <w:highlight w:val="none"/>
                <w:lang w:val="en-US" w:eastAsia="zh-CN"/>
              </w:rPr>
              <w:t>填补了本地在相关领域的服务空白，为企业和科研机构的发展搭建了坚实的桥梁</w:t>
            </w:r>
            <w:r>
              <w:rPr>
                <w:rFonts w:hint="eastAsia" w:ascii="宋体" w:hAnsi="宋体" w:cs="宋体"/>
                <w:b w:val="0"/>
                <w:bCs w:val="0"/>
                <w:sz w:val="24"/>
                <w:szCs w:val="24"/>
                <w:highlight w:val="none"/>
                <w:lang w:val="en-US" w:eastAsia="zh-CN"/>
              </w:rPr>
              <w:t>；</w:t>
            </w:r>
            <w:r>
              <w:rPr>
                <w:rFonts w:hint="eastAsia" w:ascii="宋体" w:hAnsi="宋体" w:eastAsia="宋体" w:cs="宋体"/>
                <w:b w:val="0"/>
                <w:bCs w:val="0"/>
                <w:sz w:val="24"/>
                <w:szCs w:val="24"/>
                <w:highlight w:val="none"/>
                <w:lang w:val="en-US" w:eastAsia="zh-CN"/>
              </w:rPr>
              <w:t>在此基础上，对服务平台积累的研发技术进行精心的成果转化，成功地将其形成具有市场竞争力的产品</w:t>
            </w:r>
            <w:r>
              <w:rPr>
                <w:rFonts w:hint="eastAsia" w:ascii="宋体" w:hAnsi="宋体" w:cs="宋体"/>
                <w:b w:val="0"/>
                <w:bCs w:val="0"/>
                <w:sz w:val="24"/>
                <w:szCs w:val="24"/>
                <w:highlight w:val="none"/>
                <w:lang w:val="en-US" w:eastAsia="zh-CN"/>
              </w:rPr>
              <w:t>，</w:t>
            </w:r>
            <w:r>
              <w:rPr>
                <w:rFonts w:hint="eastAsia" w:ascii="宋体" w:hAnsi="宋体" w:eastAsia="宋体" w:cs="宋体"/>
                <w:b w:val="0"/>
                <w:bCs w:val="0"/>
                <w:sz w:val="24"/>
                <w:szCs w:val="24"/>
                <w:highlight w:val="none"/>
                <w:lang w:val="en-US" w:eastAsia="zh-CN"/>
              </w:rPr>
              <w:t>使得产品能迅速获得市场的认可</w:t>
            </w:r>
            <w:r>
              <w:rPr>
                <w:rFonts w:hint="eastAsia" w:ascii="宋体" w:hAnsi="宋体" w:cs="宋体"/>
                <w:b w:val="0"/>
                <w:bCs w:val="0"/>
                <w:sz w:val="24"/>
                <w:szCs w:val="24"/>
                <w:highlight w:val="none"/>
                <w:lang w:val="en-US" w:eastAsia="zh-CN"/>
              </w:rPr>
              <w:t>；</w:t>
            </w:r>
            <w:r>
              <w:rPr>
                <w:rFonts w:hint="eastAsia" w:ascii="宋体" w:hAnsi="宋体" w:eastAsia="宋体" w:cs="宋体"/>
                <w:b w:val="0"/>
                <w:bCs w:val="0"/>
                <w:sz w:val="24"/>
                <w:szCs w:val="24"/>
                <w:highlight w:val="none"/>
                <w:lang w:val="en-US" w:eastAsia="zh-CN"/>
              </w:rPr>
              <w:t>最后，通过密切关注市场需求及反馈，捕捉行业发展的趋势和机遇，瞄准特定应用领域，实现产品的批量化供货。这一系列的举措不仅展现了其对市场变化的快速响应能力，更彰显了其坚定不移的战略眼光和强大的执行能力，成功地将科技成果转化为实际生产力，打造了一个高效、创新、可持续发展的半导体科技成果转化平台。</w:t>
            </w:r>
          </w:p>
          <w:p w14:paraId="22A22FAA">
            <w:pPr>
              <w:spacing w:beforeLines="0" w:afterLines="0"/>
              <w:jc w:val="left"/>
              <w:rPr>
                <w:rFonts w:hint="default" w:ascii="宋体" w:hAnsi="宋体" w:eastAsia="宋体" w:cs="宋体"/>
                <w:snapToGrid/>
                <w:kern w:val="2"/>
                <w:sz w:val="21"/>
                <w:szCs w:val="21"/>
                <w:lang w:val="en-US" w:eastAsia="zh-CN" w:bidi="ar-SA"/>
              </w:rPr>
            </w:pPr>
            <w:r>
              <w:rPr>
                <w:rFonts w:hint="eastAsia" w:ascii="宋体" w:hAnsi="宋体" w:eastAsia="宋体"/>
                <w:sz w:val="24"/>
                <w:szCs w:val="24"/>
              </w:rPr>
              <w:t>同时，先导中心作为陕西省实施创新驱动发展的典型案例，多次接受新闻媒体的采访、报道，对企业的商业模式、成功经验进行宣传，推广。</w:t>
            </w:r>
          </w:p>
        </w:tc>
      </w:tr>
    </w:tbl>
    <w:p w14:paraId="3216C184">
      <w:r>
        <w:rPr>
          <w:rFonts w:ascii="Times New Roman" w:hAnsi="Times New Roman" w:eastAsia="黑体" w:cs="Times New Roman"/>
          <w:sz w:val="28"/>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SONGS--GB1-5">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7002A5"/>
    <w:rsid w:val="5E7002A5"/>
    <w:rsid w:val="75913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51"/>
    <w:basedOn w:val="4"/>
    <w:qFormat/>
    <w:uiPriority w:val="0"/>
    <w:rPr>
      <w:rFonts w:hint="default" w:ascii="FZSONGS--GB1-5" w:hAnsi="FZSONGS--GB1-5" w:eastAsia="FZSONGS--GB1-5" w:cs="FZSONGS--GB1-5"/>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2025-04-15T09:06:00Z</dcterms:created>
  <dc:creator> </dc:creator>
  <cp:lastModifiedBy> </cp:lastModifiedBy>
  <dcterms:modified xsi:type="dcterms:W3CDTF">2025-04-15T09:09:16Z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8753CD2787F047B68238E7C110D49F63_11</vt:lpwstr>
  </property>
  <property fmtid="{D5CDD505-2E9C-101B-9397-08002B2CF9AE}" pid="4" name="KSOTemplateDocerSaveRecord">
    <vt:lpwstr>eyJoZGlkIjoiMzc4YTkxZTZmYTEyYTEyOGNkN2VkOWYyOWIzMTBjM2MiLCJ1c2VySWQiOiIyMDU4MDE2MzQifQ==</vt:lpwstr>
  </property>
</Properties>
</file>