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15"/>
        <w:framePr w:w="8628" w:h="631" w:hRule="exact" w:wrap="around"/>
      </w:pPr>
      <w:r>
        <w:rPr>
          <w:rFonts w:hint="eastAsia"/>
        </w:rPr>
        <w:t>陕西省地方标准</w:t>
      </w:r>
    </w:p>
    <w:p>
      <w:pPr>
        <w:pStyle w:val="49"/>
        <w:framePr w:wrap="around"/>
      </w:pPr>
      <w:r>
        <w:rPr>
          <w:rFonts w:ascii="Times New Roman"/>
        </w:rPr>
        <w:t xml:space="preserve">DB </w:t>
      </w:r>
      <w:r>
        <w:t>61/</w:t>
      </w:r>
      <w:bookmarkStart w:id="0" w:name="StdNo1"/>
      <w:r>
        <w:rPr>
          <w:rFonts w:hint="eastAsia"/>
        </w:rPr>
        <w:t xml:space="preserve">T </w:t>
      </w:r>
      <w:r>
        <w:fldChar w:fldCharType="begin">
          <w:ffData>
            <w:name w:val="StdNo1"/>
            <w:enabled/>
            <w:calcOnExit w:val="0"/>
            <w:textInput>
              <w:default w:val="XXXXX"/>
            </w:textInput>
          </w:ffData>
        </w:fldChar>
      </w:r>
      <w:r>
        <w:instrText xml:space="preserve"> FORMTEXT </w:instrText>
      </w:r>
      <w:r>
        <w:fldChar w:fldCharType="separate"/>
      </w:r>
      <w:r>
        <w:t>XXXXX</w:t>
      </w:r>
      <w:r>
        <w:fldChar w:fldCharType="end"/>
      </w:r>
      <w:bookmarkEnd w:id="0"/>
      <w:r>
        <w:t>—</w:t>
      </w:r>
      <w:bookmarkStart w:id="1" w:name="StdNo2"/>
      <w:r>
        <w:fldChar w:fldCharType="begin">
          <w:ffData>
            <w:name w:val="StdNo2"/>
            <w:enabled/>
            <w:calcOnExit w:val="0"/>
            <w:textInput>
              <w:default w:val="XXXX"/>
              <w:maxLength w:val="4"/>
            </w:textInput>
          </w:ffData>
        </w:fldChar>
      </w:r>
      <w:r>
        <w:instrText xml:space="preserve"> FORMTEXT </w:instrText>
      </w:r>
      <w:r>
        <w:fldChar w:fldCharType="separate"/>
      </w:r>
      <w:r>
        <w:t>XXXX</w:t>
      </w:r>
      <w:r>
        <w:fldChar w:fldCharType="end"/>
      </w:r>
      <w:bookmarkEnd w:id="1"/>
    </w:p>
    <w:tbl>
      <w:tblPr>
        <w:tblStyle w:val="32"/>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6" w:type="dxa"/>
            <w:tcBorders>
              <w:top w:val="nil"/>
              <w:left w:val="nil"/>
              <w:bottom w:val="nil"/>
              <w:right w:val="nil"/>
            </w:tcBorders>
          </w:tcPr>
          <w:p>
            <w:pPr>
              <w:pStyle w:val="80"/>
              <w:framePr w:wrap="around"/>
            </w:pPr>
            <w:bookmarkStart w:id="2" w:name="DT"/>
            <w:r>
              <w:rPr>
                <w:rFonts w:hint="eastAsia"/>
              </w:rPr>
              <w:t>代替DB61/T 975-2015 地理标志产品 靖边土豆</w:t>
            </w:r>
            <w:r>
              <w:fldChar w:fldCharType="begin">
                <w:ffData>
                  <w:name w:val="DT"/>
                  <w:enabled/>
                  <w:calcOnExit w:val="0"/>
                  <w:textInput/>
                </w:ffData>
              </w:fldChar>
            </w:r>
            <w:r>
              <w:instrText xml:space="preserve"> FORMTEXT </w:instrText>
            </w:r>
            <w:r>
              <w:fldChar w:fldCharType="separate"/>
            </w:r>
            <w:r>
              <w:t>     </w:t>
            </w:r>
            <w:r>
              <w:fldChar w:fldCharType="end"/>
            </w:r>
            <w:bookmarkEnd w:id="2"/>
          </w:p>
        </w:tc>
      </w:tr>
    </w:tbl>
    <w:p>
      <w:pPr>
        <w:pStyle w:val="49"/>
        <w:framePr w:wrap="around"/>
      </w:pPr>
    </w:p>
    <w:p>
      <w:pPr>
        <w:pStyle w:val="49"/>
        <w:framePr w:wrap="around"/>
      </w:pPr>
    </w:p>
    <w:p>
      <w:pPr>
        <w:pStyle w:val="82"/>
        <w:framePr w:wrap="around" w:x="1287" w:y="6346"/>
      </w:pPr>
      <w:r>
        <w:rPr>
          <w:rFonts w:hint="eastAsia"/>
        </w:rPr>
        <w:t>地理标志产品</w:t>
      </w:r>
      <w:r>
        <w:rPr>
          <w:rFonts w:hint="eastAsia"/>
          <w:lang w:val="en-US" w:eastAsia="zh-CN"/>
        </w:rPr>
        <w:t>质量要求</w:t>
      </w:r>
      <w:r>
        <w:rPr>
          <w:rFonts w:hint="eastAsia"/>
        </w:rPr>
        <w:t xml:space="preserve"> 靖边土豆</w:t>
      </w:r>
    </w:p>
    <w:p>
      <w:pPr>
        <w:pStyle w:val="83"/>
        <w:framePr w:wrap="around" w:x="1287" w:y="6346"/>
      </w:pPr>
      <w:r>
        <w:rPr>
          <w:rFonts w:hint="eastAsia"/>
        </w:rPr>
        <w:t xml:space="preserve">  Quality requirements for geographical indication products - Jingbian </w:t>
      </w:r>
      <w:r>
        <w:t>patato     </w:t>
      </w:r>
    </w:p>
    <w:p>
      <w:pPr>
        <w:pStyle w:val="84"/>
        <w:framePr w:wrap="around" w:x="1287" w:y="6346"/>
      </w:pPr>
    </w:p>
    <w:tbl>
      <w:tblPr>
        <w:tblStyle w:val="32"/>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85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tcPr>
          <w:p>
            <w:pPr>
              <w:pStyle w:val="85"/>
              <w:framePr w:wrap="around" w:x="1287" w:y="6346"/>
            </w:pPr>
            <w:r>
              <w:pict>
                <v:rect id="RQ" o:spid="_x0000_s1026" o:spt="1" style="position:absolute;left:0pt;margin-left:173.3pt;margin-top:337.15pt;height:20pt;width:150pt;z-index:-251653120;mso-width-relative:page;mso-height-relative:page;" stroked="f" coordsize="21600,21600">
                  <v:path/>
                  <v:fill focussize="0,0"/>
                  <v:stroke on="f"/>
                  <v:imagedata o:title=""/>
                  <o:lock v:ext="edit"/>
                  <w10:anchorlock/>
                </v:rect>
              </w:pict>
            </w:r>
            <w:r>
              <w:rPr>
                <w:rFonts w:hint="eastAsia"/>
              </w:rPr>
              <w:t>（</w:t>
            </w:r>
            <w:r>
              <w:rPr>
                <w:rFonts w:hint="eastAsia"/>
                <w:lang w:val="en-US" w:eastAsia="zh-CN"/>
              </w:rPr>
              <w:t>征求意见稿</w:t>
            </w:r>
            <w:r>
              <w:rPr>
                <w:rFonts w:hint="eastAsia"/>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tcPr>
          <w:p>
            <w:pPr>
              <w:pStyle w:val="86"/>
              <w:framePr w:wrap="around" w:x="1287" w:y="6346"/>
            </w:pPr>
          </w:p>
        </w:tc>
      </w:tr>
    </w:tbl>
    <w:p>
      <w:pPr>
        <w:pStyle w:val="137"/>
        <w:framePr w:wrap="around" w:hAnchor="page" w:x="1996" w:y="14146"/>
      </w:pPr>
      <w:bookmarkStart w:id="3" w:name="FY"/>
      <w:r>
        <w:rPr>
          <w:rFonts w:ascii="黑体"/>
        </w:rPr>
        <w:fldChar w:fldCharType="begin">
          <w:ffData>
            <w:name w:val="FY"/>
            <w:enabled/>
            <w:calcOnExit w:val="0"/>
            <w:textInput>
              <w:default w:val="XXXX"/>
              <w:maxLength w:val="4"/>
            </w:textInput>
          </w:ffData>
        </w:fldChar>
      </w:r>
      <w:r>
        <w:rPr>
          <w:rFonts w:ascii="黑体"/>
        </w:rPr>
        <w:instrText xml:space="preserve"> FORMTEXT </w:instrText>
      </w:r>
      <w:r>
        <w:rPr>
          <w:rFonts w:ascii="黑体"/>
        </w:rPr>
        <w:fldChar w:fldCharType="separate"/>
      </w:r>
      <w:r>
        <w:rPr>
          <w:rFonts w:hint="eastAsia" w:ascii="黑体"/>
        </w:rPr>
        <w:t>20</w:t>
      </w:r>
      <w:r>
        <w:rPr>
          <w:rFonts w:ascii="黑体"/>
        </w:rPr>
        <w:t>XX</w:t>
      </w:r>
      <w:r>
        <w:rPr>
          <w:rFonts w:ascii="黑体"/>
        </w:rPr>
        <w:fldChar w:fldCharType="end"/>
      </w:r>
      <w:bookmarkEnd w:id="3"/>
      <w:r>
        <w:t xml:space="preserve"> </w:t>
      </w:r>
      <w:r>
        <w:rPr>
          <w:rFonts w:ascii="黑体"/>
        </w:rPr>
        <w:t>-</w:t>
      </w:r>
      <w:r>
        <w:t xml:space="preserve"> </w:t>
      </w:r>
      <w:r>
        <w:rPr>
          <w:rFonts w:ascii="黑体"/>
        </w:rPr>
        <w:fldChar w:fldCharType="begin">
          <w:ffData>
            <w:name w:val="FM"/>
            <w:enabled/>
            <w:calcOnExit w:val="0"/>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r>
        <w:t xml:space="preserve"> </w:t>
      </w:r>
      <w:r>
        <w:rPr>
          <w:rFonts w:ascii="黑体"/>
        </w:rPr>
        <w:t>-</w:t>
      </w:r>
      <w:r>
        <w:t xml:space="preserve"> </w:t>
      </w:r>
      <w:bookmarkStart w:id="4" w:name="FD"/>
      <w:r>
        <w:rPr>
          <w:rFonts w:ascii="黑体"/>
        </w:rPr>
        <w:fldChar w:fldCharType="begin">
          <w:ffData>
            <w:name w:val="FD"/>
            <w:enabled/>
            <w:calcOnExit w:val="0"/>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4"/>
      <w:r>
        <w:rPr>
          <w:rFonts w:hint="eastAsia"/>
        </w:rPr>
        <w:t>发布</w:t>
      </w:r>
      <w:r>
        <w:pict>
          <v:line id="_x0000_s1027" o:spid="_x0000_s1027" o:spt="20" style="position:absolute;left:0pt;margin-left:-28.85pt;margin-top:732.75pt;height:0pt;width:481.9pt;mso-position-vertical-relative:page;z-index:251659264;mso-width-relative:page;mso-height-relative:page;" coordsize="21600,21600">
            <v:path arrowok="t"/>
            <v:fill focussize="0,0"/>
            <v:stroke/>
            <v:imagedata o:title=""/>
            <o:lock v:ext="edit"/>
            <w10:anchorlock/>
          </v:line>
        </w:pict>
      </w:r>
    </w:p>
    <w:p>
      <w:pPr>
        <w:pStyle w:val="138"/>
        <w:framePr w:wrap="around" w:hAnchor="page" w:x="6901"/>
      </w:pPr>
      <w:bookmarkStart w:id="5" w:name="SY"/>
      <w:r>
        <w:rPr>
          <w:rFonts w:ascii="黑体"/>
        </w:rPr>
        <w:fldChar w:fldCharType="begin">
          <w:ffData>
            <w:name w:val="SY"/>
            <w:enabled/>
            <w:calcOnExit w:val="0"/>
            <w:textInput>
              <w:default w:val="XXXX"/>
              <w:maxLength w:val="4"/>
            </w:textInput>
          </w:ffData>
        </w:fldChar>
      </w:r>
      <w:r>
        <w:rPr>
          <w:rFonts w:ascii="黑体"/>
        </w:rPr>
        <w:instrText xml:space="preserve"> FORMTEXT </w:instrText>
      </w:r>
      <w:r>
        <w:rPr>
          <w:rFonts w:ascii="黑体"/>
        </w:rPr>
        <w:fldChar w:fldCharType="separate"/>
      </w:r>
      <w:r>
        <w:rPr>
          <w:rFonts w:hint="eastAsia" w:ascii="黑体"/>
        </w:rPr>
        <w:t>20</w:t>
      </w:r>
      <w:r>
        <w:rPr>
          <w:rFonts w:ascii="黑体"/>
        </w:rPr>
        <w:t>XX</w:t>
      </w:r>
      <w:r>
        <w:rPr>
          <w:rFonts w:ascii="黑体"/>
        </w:rPr>
        <w:fldChar w:fldCharType="end"/>
      </w:r>
      <w:bookmarkEnd w:id="5"/>
      <w:r>
        <w:t xml:space="preserve"> </w:t>
      </w:r>
      <w:r>
        <w:rPr>
          <w:rFonts w:ascii="黑体"/>
        </w:rPr>
        <w:t>-</w:t>
      </w:r>
      <w:r>
        <w:t xml:space="preserve"> </w:t>
      </w:r>
      <w:bookmarkStart w:id="6" w:name="SM"/>
      <w:r>
        <w:rPr>
          <w:rFonts w:ascii="黑体"/>
        </w:rPr>
        <w:fldChar w:fldCharType="begin">
          <w:ffData>
            <w:name w:val="SM"/>
            <w:enabled/>
            <w:calcOnExit w:val="0"/>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6"/>
      <w:r>
        <w:t xml:space="preserve"> </w:t>
      </w:r>
      <w:r>
        <w:rPr>
          <w:rFonts w:ascii="黑体"/>
        </w:rPr>
        <w:t>-</w:t>
      </w:r>
      <w:r>
        <w:t xml:space="preserve"> </w:t>
      </w:r>
      <w:bookmarkStart w:id="7" w:name="SD"/>
      <w:r>
        <w:rPr>
          <w:rFonts w:ascii="黑体"/>
        </w:rPr>
        <w:fldChar w:fldCharType="begin">
          <w:ffData>
            <w:name w:val="SD"/>
            <w:enabled/>
            <w:calcOnExit w:val="0"/>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7"/>
      <w:r>
        <w:rPr>
          <w:rFonts w:hint="eastAsia"/>
        </w:rPr>
        <w:t>实施</w:t>
      </w:r>
    </w:p>
    <w:p>
      <w:pPr>
        <w:pStyle w:val="116"/>
        <w:framePr w:wrap="around"/>
      </w:pPr>
      <w:bookmarkStart w:id="8" w:name="fm"/>
      <w:r>
        <w:rPr>
          <w:w w:val="100"/>
        </w:rPr>
        <w:pict>
          <v:rect id="LB" o:spid="_x0000_s1028" o:spt="1" style="position:absolute;left:0pt;margin-left:142.55pt;margin-top:-310.45pt;height:24pt;width:100pt;z-index:-251654144;mso-width-relative:page;mso-height-relative:page;" stroked="f" coordsize="21600,21600">
            <v:path/>
            <v:fill focussize="0,0"/>
            <v:stroke on="f"/>
            <v:imagedata o:title=""/>
            <o:lock v:ext="edit"/>
          </v:rect>
        </w:pict>
      </w:r>
      <w:r>
        <w:rPr>
          <w:w w:val="100"/>
        </w:rPr>
        <w:pict>
          <v:rect id="DT" o:spid="_x0000_s1029" o:spt="1" style="position:absolute;left:0pt;margin-left:347.55pt;margin-top:-585.45pt;height:18pt;width:90pt;z-index:-251655168;mso-width-relative:page;mso-height-relative:page;" stroked="f" coordsize="21600,21600">
            <v:path/>
            <v:fill focussize="0,0"/>
            <v:stroke on="f"/>
            <v:imagedata o:title=""/>
            <o:lock v:ext="edit"/>
          </v:rect>
        </w:pict>
      </w:r>
      <w:r>
        <w:rPr>
          <w:w w:val="100"/>
        </w:rPr>
        <w:pict>
          <v:line id="_x0000_s1030" o:spid="_x0000_s1030" o:spt="20" style="position:absolute;left:0pt;margin-left:-36.6pt;margin-top:-552.85pt;height:0pt;width:481.9pt;z-index:251660288;mso-width-relative:page;mso-height-relative:page;" coordsize="21600,21600">
            <v:path arrowok="t"/>
            <v:fill focussize="0,0"/>
            <v:stroke/>
            <v:imagedata o:title=""/>
            <o:lock v:ext="edit"/>
          </v:line>
        </w:pict>
      </w:r>
      <w:r>
        <w:fldChar w:fldCharType="begin">
          <w:ffData>
            <w:name w:val="fm"/>
            <w:enabled/>
            <w:calcOnExit w:val="0"/>
            <w:textInput/>
          </w:ffData>
        </w:fldChar>
      </w:r>
      <w:r>
        <w:instrText xml:space="preserve"> FORMTEXT </w:instrText>
      </w:r>
      <w:r>
        <w:fldChar w:fldCharType="separate"/>
      </w:r>
      <w:r>
        <w:rPr>
          <w:rFonts w:hint="eastAsia"/>
        </w:rPr>
        <w:t>陕西省质量技术监督局</w:t>
      </w:r>
      <w:r>
        <w:fldChar w:fldCharType="end"/>
      </w:r>
      <w:bookmarkEnd w:id="8"/>
      <w:r>
        <w:t>   </w:t>
      </w:r>
      <w:r>
        <w:rPr>
          <w:rStyle w:val="77"/>
          <w:rFonts w:hint="eastAsia"/>
        </w:rPr>
        <w:t>发布</w:t>
      </w:r>
    </w:p>
    <w:p>
      <w:pPr>
        <w:pStyle w:val="23"/>
        <w:ind w:firstLine="0" w:firstLineChars="0"/>
      </w:pPr>
      <w:r>
        <w:t>ICS</w:t>
      </w:r>
    </w:p>
    <w:p>
      <w:pPr>
        <w:pStyle w:val="23"/>
        <w:ind w:firstLine="0" w:firstLineChars="0"/>
      </w:pPr>
    </w:p>
    <w:p/>
    <w:p>
      <w:pPr>
        <w:pStyle w:val="114"/>
        <w:framePr w:wrap="around"/>
        <w:wordWrap w:val="0"/>
        <w:ind w:right="628"/>
        <w:jc w:val="center"/>
      </w:pPr>
      <w:r>
        <w:rPr>
          <w:rFonts w:hint="eastAsia"/>
        </w:rPr>
        <w:t xml:space="preserve">   </w:t>
      </w:r>
      <w:r>
        <w:t>DB</w:t>
      </w:r>
      <w:r>
        <w:rPr>
          <w:rFonts w:hint="eastAsia"/>
        </w:rPr>
        <w:t>61</w:t>
      </w:r>
    </w:p>
    <w:p>
      <w:pPr>
        <w:tabs>
          <w:tab w:val="left" w:pos="7393"/>
        </w:tabs>
        <w:jc w:val="left"/>
        <w:sectPr>
          <w:footerReference r:id="rId3" w:type="even"/>
          <w:pgSz w:w="11906" w:h="16838"/>
          <w:pgMar w:top="567" w:right="850" w:bottom="1134" w:left="1418" w:header="0" w:footer="0" w:gutter="0"/>
          <w:pgNumType w:start="1"/>
          <w:cols w:space="425" w:num="1"/>
          <w:docGrid w:type="lines" w:linePitch="312" w:charSpace="0"/>
        </w:sectPr>
      </w:pPr>
    </w:p>
    <w:p>
      <w:pPr>
        <w:pStyle w:val="117"/>
      </w:pPr>
      <w:r>
        <w:rPr>
          <w:rFonts w:hint="eastAsia"/>
        </w:rPr>
        <w:t>前</w:t>
      </w:r>
      <w:bookmarkStart w:id="9" w:name="BKQY"/>
      <w:r>
        <w:t>  </w:t>
      </w:r>
      <w:r>
        <w:rPr>
          <w:rFonts w:hint="eastAsia"/>
        </w:rPr>
        <w:t>言</w:t>
      </w:r>
      <w:bookmarkEnd w:id="9"/>
    </w:p>
    <w:p>
      <w:pPr>
        <w:pStyle w:val="23"/>
      </w:pPr>
      <w:r>
        <w:rPr>
          <w:rFonts w:hint="eastAsia"/>
        </w:rPr>
        <w:t>本文件依据GB/T 1.1-2020《标准化工作导则  第1部分：标准化文件的结构和起草规则》的规定起草。</w:t>
      </w:r>
    </w:p>
    <w:p>
      <w:pPr>
        <w:pStyle w:val="23"/>
      </w:pPr>
      <w:r>
        <w:rPr>
          <w:rFonts w:hint="eastAsia"/>
        </w:rPr>
        <w:t>本文件由靖边县人民政府提出。</w:t>
      </w:r>
    </w:p>
    <w:p>
      <w:pPr>
        <w:pStyle w:val="23"/>
      </w:pPr>
      <w:r>
        <w:rPr>
          <w:rFonts w:hint="eastAsia"/>
        </w:rPr>
        <w:t>本文件归口单位：陕西省知识产权局。</w:t>
      </w:r>
    </w:p>
    <w:p>
      <w:pPr>
        <w:pStyle w:val="23"/>
      </w:pPr>
      <w:r>
        <w:rPr>
          <w:rFonts w:hint="eastAsia"/>
        </w:rPr>
        <w:t>本文件起草单位：靖边县农产品质量安全中心、西安理工大学、西北农林科技大学、陕西省农产品质量安全中心、榆林市农产品质量安全中心、靖边县市场检验检测中心、靖边县农业推广技术服务中心、陕西秦靖农业科技有限公司、靖边县大漠神农农业发展有限公司。</w:t>
      </w:r>
    </w:p>
    <w:p>
      <w:pPr>
        <w:pStyle w:val="23"/>
      </w:pPr>
      <w:r>
        <w:rPr>
          <w:rFonts w:hint="eastAsia"/>
        </w:rPr>
        <w:t>本文件主要起草人：鲁瑞文、柏春雷、任雪菲、樊柿莨、郝晓艳、蒋楠、楚杰、樊虎玲、路海东、刘柏林、巩宇翔、林盛、崔宇佳、霍新梅、叶宁、闫霞、杨蕾、曹建宇、双乐、任凤霞。</w:t>
      </w:r>
    </w:p>
    <w:p>
      <w:pPr>
        <w:pStyle w:val="23"/>
      </w:pPr>
      <w:r>
        <w:rPr>
          <w:rFonts w:hint="eastAsia"/>
        </w:rPr>
        <w:t>本文件代替DB61/T 975-2015《地理标志产品 靖边土豆》，与DB61/T 975-2015相比，除结构调整和编辑性改动外，主要技术变化如下：</w:t>
      </w:r>
    </w:p>
    <w:p>
      <w:pPr>
        <w:pStyle w:val="23"/>
        <w:numPr>
          <w:ilvl w:val="0"/>
          <w:numId w:val="10"/>
        </w:numPr>
      </w:pPr>
      <w:r>
        <w:rPr>
          <w:rFonts w:hint="eastAsia"/>
        </w:rPr>
        <w:t>增加了规范性引用文件（见第2章）；</w:t>
      </w:r>
    </w:p>
    <w:p>
      <w:pPr>
        <w:pStyle w:val="23"/>
        <w:numPr>
          <w:ilvl w:val="0"/>
          <w:numId w:val="10"/>
        </w:numPr>
      </w:pPr>
      <w:r>
        <w:rPr>
          <w:rFonts w:hint="eastAsia"/>
        </w:rPr>
        <w:t>增加了术语和定义（见第3章）；</w:t>
      </w:r>
    </w:p>
    <w:p>
      <w:pPr>
        <w:pStyle w:val="23"/>
        <w:numPr>
          <w:ilvl w:val="0"/>
          <w:numId w:val="10"/>
        </w:numPr>
      </w:pPr>
      <w:r>
        <w:t>优化了地理环境元素指标（见第5章）</w:t>
      </w:r>
      <w:r>
        <w:rPr>
          <w:rFonts w:hint="eastAsia"/>
        </w:rPr>
        <w:t>；</w:t>
      </w:r>
    </w:p>
    <w:p>
      <w:pPr>
        <w:pStyle w:val="23"/>
        <w:numPr>
          <w:ilvl w:val="0"/>
          <w:numId w:val="10"/>
        </w:numPr>
      </w:pPr>
      <w:r>
        <w:rPr>
          <w:rFonts w:hint="eastAsia"/>
        </w:rPr>
        <w:t>更改了种植地标准、化肥施用、病虫害防治的技术指标</w:t>
      </w:r>
      <w:r>
        <w:t>（见第5章）</w:t>
      </w:r>
      <w:r>
        <w:rPr>
          <w:rFonts w:hint="eastAsia"/>
        </w:rPr>
        <w:t>；</w:t>
      </w:r>
    </w:p>
    <w:p>
      <w:pPr>
        <w:pStyle w:val="23"/>
        <w:numPr>
          <w:ilvl w:val="0"/>
          <w:numId w:val="10"/>
        </w:numPr>
      </w:pPr>
      <w:r>
        <w:rPr>
          <w:rFonts w:hint="eastAsia"/>
        </w:rPr>
        <w:t>增加了理化指标分级，增加了维生素C理化指标测定（见第6章,6.1）；</w:t>
      </w:r>
    </w:p>
    <w:p>
      <w:pPr>
        <w:pStyle w:val="23"/>
        <w:numPr>
          <w:ilvl w:val="0"/>
          <w:numId w:val="10"/>
        </w:numPr>
      </w:pPr>
      <w:r>
        <w:rPr>
          <w:rFonts w:hint="eastAsia"/>
        </w:rPr>
        <w:t>增加了理化指标检验方法，增加了维生素C指标检验方法（见第7章,7.2）；</w:t>
      </w:r>
    </w:p>
    <w:p>
      <w:pPr>
        <w:pStyle w:val="23"/>
        <w:numPr>
          <w:ilvl w:val="0"/>
          <w:numId w:val="10"/>
        </w:numPr>
      </w:pPr>
      <w:r>
        <w:rPr>
          <w:rFonts w:hint="eastAsia"/>
        </w:rPr>
        <w:t>更改了</w:t>
      </w:r>
      <w:r>
        <w:t>靖边土豆专用标志的使用</w:t>
      </w:r>
      <w:r>
        <w:rPr>
          <w:rFonts w:hint="eastAsia"/>
        </w:rPr>
        <w:t>（见第11章,11.2）；</w:t>
      </w:r>
    </w:p>
    <w:p>
      <w:pPr>
        <w:pStyle w:val="23"/>
        <w:numPr>
          <w:ilvl w:val="0"/>
          <w:numId w:val="10"/>
        </w:numPr>
      </w:pPr>
      <w:r>
        <w:rPr>
          <w:rFonts w:hint="eastAsia"/>
        </w:rPr>
        <w:t>完善了资料性附录。</w:t>
      </w:r>
    </w:p>
    <w:p>
      <w:pPr>
        <w:pStyle w:val="23"/>
        <w:ind w:firstLine="0" w:firstLineChars="0"/>
      </w:pPr>
    </w:p>
    <w:p>
      <w:pPr>
        <w:pStyle w:val="23"/>
      </w:pPr>
      <w:r>
        <w:rPr>
          <w:rFonts w:hint="eastAsia"/>
        </w:rPr>
        <w:t>本文件由靖边县农产品质量安全中心解释。本文件及其所代替文件的历次版本发布情况为：——2015年首次发布为DB61/T 975-2015，本次为第一次修订。本文件在实施过程中如有疑问或建议，请将咨询或修改建议等信息反馈至下列单位：</w:t>
      </w:r>
    </w:p>
    <w:p>
      <w:pPr>
        <w:pStyle w:val="23"/>
      </w:pPr>
      <w:r>
        <w:rPr>
          <w:rFonts w:hint="eastAsia"/>
        </w:rPr>
        <w:t>单位：靖边县农产品质量安全中心</w:t>
      </w:r>
    </w:p>
    <w:p>
      <w:pPr>
        <w:pStyle w:val="23"/>
      </w:pPr>
      <w:r>
        <w:rPr>
          <w:rFonts w:hint="eastAsia"/>
        </w:rPr>
        <w:t>地址：靖边县南关东街70号</w:t>
      </w:r>
    </w:p>
    <w:p>
      <w:pPr>
        <w:pStyle w:val="23"/>
      </w:pPr>
      <w:r>
        <w:rPr>
          <w:rFonts w:hint="eastAsia"/>
        </w:rPr>
        <w:t>电话：0912-4610315</w:t>
      </w:r>
    </w:p>
    <w:p>
      <w:pPr>
        <w:pStyle w:val="23"/>
      </w:pPr>
      <w:r>
        <w:rPr>
          <w:rFonts w:hint="eastAsia"/>
        </w:rPr>
        <w:t>邮编：718500</w:t>
      </w:r>
    </w:p>
    <w:p>
      <w:pPr>
        <w:pStyle w:val="23"/>
        <w:sectPr>
          <w:headerReference r:id="rId4" w:type="default"/>
          <w:footerReference r:id="rId5" w:type="default"/>
          <w:pgSz w:w="11906" w:h="16838"/>
          <w:pgMar w:top="567" w:right="1134" w:bottom="1134" w:left="1418" w:header="1418" w:footer="1134" w:gutter="0"/>
          <w:pgNumType w:fmt="upperRoman" w:start="1"/>
          <w:cols w:space="425" w:num="1"/>
          <w:formProt w:val="0"/>
          <w:docGrid w:type="lines" w:linePitch="312" w:charSpace="0"/>
        </w:sectPr>
      </w:pPr>
    </w:p>
    <w:p>
      <w:pPr>
        <w:pStyle w:val="52"/>
        <w:spacing w:before="480" w:after="360"/>
      </w:pPr>
      <w:bookmarkStart w:id="10" w:name="SectionMark4"/>
      <w:r>
        <w:rPr>
          <w:rFonts w:hint="eastAsia"/>
        </w:rPr>
        <w:t>地理标志产品</w:t>
      </w:r>
      <w:r>
        <w:rPr>
          <w:rFonts w:hint="eastAsia"/>
          <w:lang w:val="en-US" w:eastAsia="zh-CN"/>
        </w:rPr>
        <w:t>质量要求</w:t>
      </w:r>
      <w:r>
        <w:rPr>
          <w:rFonts w:hint="eastAsia"/>
        </w:rPr>
        <w:t xml:space="preserve"> 靖边土豆</w:t>
      </w:r>
    </w:p>
    <w:p>
      <w:pPr>
        <w:pStyle w:val="47"/>
        <w:spacing w:before="312" w:after="312"/>
      </w:pPr>
      <w:r>
        <w:rPr>
          <w:rFonts w:hint="eastAsia"/>
        </w:rPr>
        <w:t>范围</w:t>
      </w:r>
    </w:p>
    <w:p>
      <w:pPr>
        <w:pStyle w:val="23"/>
      </w:pPr>
      <w:r>
        <w:rPr>
          <w:rFonts w:hint="eastAsia"/>
        </w:rPr>
        <w:t>本文件规定了地理标志产品 靖边土豆的保护范围、术语和定义、生产条件、质量要求、检验方法、判定规则、标志、包装运输和贮存。</w:t>
      </w:r>
    </w:p>
    <w:p>
      <w:pPr>
        <w:pStyle w:val="23"/>
      </w:pPr>
      <w:r>
        <w:rPr>
          <w:rFonts w:hint="eastAsia"/>
          <w:kern w:val="2"/>
        </w:rPr>
        <w:t>本文件适用于地理标志产品 靖边土豆。</w:t>
      </w:r>
    </w:p>
    <w:p>
      <w:pPr>
        <w:pStyle w:val="47"/>
        <w:spacing w:before="312" w:after="312"/>
      </w:pPr>
      <w:r>
        <w:rPr>
          <w:rFonts w:hint="eastAsia"/>
        </w:rPr>
        <w:t>规范性引用文件</w:t>
      </w:r>
    </w:p>
    <w:bookmarkEnd w:id="10"/>
    <w:p>
      <w:pPr>
        <w:pStyle w:val="30"/>
        <w:widowControl/>
        <w:tabs>
          <w:tab w:val="center" w:pos="4201"/>
          <w:tab w:val="right" w:leader="dot" w:pos="9298"/>
        </w:tabs>
        <w:autoSpaceDE w:val="0"/>
        <w:autoSpaceDN w:val="0"/>
        <w:ind w:firstLine="420" w:firstLineChars="200"/>
      </w:pPr>
      <w:r>
        <w:rPr>
          <w:rFonts w:hint="eastAsia" w:ascii="宋体"/>
          <w:kern w:val="0"/>
          <w:sz w:val="21"/>
          <w:szCs w:val="20"/>
          <w:lang w:bidi="ar"/>
        </w:rPr>
        <w:t>下列文件中的内容通过文中的规范性引用而构成本文件必不可少的条款。其中，注日期的引用文件，仅该日期对应的版本适用于本文件；不注日期的引用文件，其最新版本（包括所有的修改单）适用于本文件。</w:t>
      </w:r>
    </w:p>
    <w:p>
      <w:pPr>
        <w:pStyle w:val="23"/>
      </w:pPr>
      <w:r>
        <w:rPr>
          <w:rFonts w:hint="eastAsia"/>
        </w:rPr>
        <w:t>GB/T 191  包装储运图示标志</w:t>
      </w:r>
    </w:p>
    <w:p>
      <w:pPr>
        <w:pStyle w:val="23"/>
      </w:pPr>
      <w:r>
        <w:rPr>
          <w:rFonts w:hint="eastAsia"/>
        </w:rPr>
        <w:t>GB 2762-2022  食品中污染物限量</w:t>
      </w:r>
    </w:p>
    <w:p>
      <w:pPr>
        <w:pStyle w:val="23"/>
      </w:pPr>
      <w:r>
        <w:rPr>
          <w:rFonts w:hint="eastAsia"/>
        </w:rPr>
        <w:t>GB 2763-2021  食品中农药最大残留限量</w:t>
      </w:r>
    </w:p>
    <w:p>
      <w:pPr>
        <w:pStyle w:val="23"/>
      </w:pPr>
      <w:r>
        <w:rPr>
          <w:rFonts w:hint="eastAsia"/>
        </w:rPr>
        <w:t>GB 5009.3  食品安全国家标准食品中水分的测定</w:t>
      </w:r>
    </w:p>
    <w:p>
      <w:pPr>
        <w:pStyle w:val="23"/>
      </w:pPr>
      <w:r>
        <w:rPr>
          <w:rFonts w:hint="eastAsia"/>
        </w:rPr>
        <w:t>GB/T  5009.9  食品中淀粉的测定</w:t>
      </w:r>
    </w:p>
    <w:p>
      <w:pPr>
        <w:pStyle w:val="23"/>
      </w:pPr>
      <w:r>
        <w:rPr>
          <w:rFonts w:hint="eastAsia"/>
        </w:rPr>
        <w:t>GB/T  5009.86  食品中维生素C的测定</w:t>
      </w:r>
    </w:p>
    <w:p>
      <w:pPr>
        <w:pStyle w:val="23"/>
      </w:pPr>
      <w:r>
        <w:rPr>
          <w:rFonts w:hint="eastAsia"/>
        </w:rPr>
        <w:t>GB 5084  农田灌溉水质标准</w:t>
      </w:r>
    </w:p>
    <w:p>
      <w:pPr>
        <w:pStyle w:val="23"/>
      </w:pPr>
      <w:r>
        <w:rPr>
          <w:rFonts w:hint="eastAsia"/>
        </w:rPr>
        <w:t>GB 7718  食品安全国家标准预包装食品标签通则</w:t>
      </w:r>
    </w:p>
    <w:p>
      <w:pPr>
        <w:pStyle w:val="23"/>
      </w:pPr>
      <w:r>
        <w:rPr>
          <w:rFonts w:hint="eastAsia"/>
        </w:rPr>
        <w:t>GB/T 8321.8  农药合理使用准则（八)</w:t>
      </w:r>
    </w:p>
    <w:p>
      <w:pPr>
        <w:pStyle w:val="23"/>
      </w:pPr>
      <w:r>
        <w:rPr>
          <w:rFonts w:hint="eastAsia"/>
        </w:rPr>
        <w:t>GB/T 8855  新鲜水果和蔬菜取样方法</w:t>
      </w:r>
    </w:p>
    <w:p>
      <w:pPr>
        <w:pStyle w:val="23"/>
      </w:pPr>
      <w:r>
        <w:rPr>
          <w:rFonts w:hint="eastAsia"/>
        </w:rPr>
        <w:t>GB/T 17924  地理标志产品标准通用要求</w:t>
      </w:r>
    </w:p>
    <w:p>
      <w:pPr>
        <w:pStyle w:val="23"/>
      </w:pPr>
      <w:r>
        <w:rPr>
          <w:rFonts w:hint="eastAsia"/>
        </w:rPr>
        <w:t>GB 18133-2012  马铃薯种薯</w:t>
      </w:r>
    </w:p>
    <w:p>
      <w:pPr>
        <w:pStyle w:val="23"/>
      </w:pPr>
      <w:r>
        <w:rPr>
          <w:rFonts w:hint="eastAsia"/>
        </w:rPr>
        <w:t>GB/T 25872  马铃薯 通风库贮藏指南</w:t>
      </w:r>
    </w:p>
    <w:p>
      <w:pPr>
        <w:pStyle w:val="23"/>
      </w:pPr>
      <w:r>
        <w:rPr>
          <w:rFonts w:hint="eastAsia"/>
        </w:rPr>
        <w:t>NY/T 496  肥料合理使用准则通则</w:t>
      </w:r>
    </w:p>
    <w:p>
      <w:pPr>
        <w:pStyle w:val="23"/>
      </w:pPr>
      <w:r>
        <w:rPr>
          <w:rFonts w:hint="eastAsia"/>
        </w:rPr>
        <w:t xml:space="preserve">JJF 1070-2023  定量包装商品净含量计量检验规则 </w:t>
      </w:r>
      <w:r>
        <w:t xml:space="preserve"> </w:t>
      </w:r>
    </w:p>
    <w:p>
      <w:pPr>
        <w:pStyle w:val="47"/>
        <w:spacing w:before="312" w:after="312"/>
      </w:pPr>
      <w:r>
        <w:rPr>
          <w:rFonts w:hint="eastAsia"/>
        </w:rPr>
        <w:t>术语和定义</w:t>
      </w:r>
      <w:r>
        <w:t xml:space="preserve"> </w:t>
      </w:r>
    </w:p>
    <w:p>
      <w:pPr>
        <w:pStyle w:val="23"/>
      </w:pPr>
      <w:r>
        <w:rPr>
          <w:rFonts w:hint="eastAsia"/>
        </w:rPr>
        <w:t>下列术语和定义适用于本文件。</w:t>
      </w:r>
    </w:p>
    <w:p>
      <w:pPr>
        <w:pStyle w:val="44"/>
        <w:spacing w:before="156" w:after="156"/>
      </w:pPr>
    </w:p>
    <w:p>
      <w:pPr>
        <w:pStyle w:val="44"/>
        <w:numPr>
          <w:ilvl w:val="0"/>
          <w:numId w:val="0"/>
        </w:numPr>
        <w:spacing w:before="156" w:after="156"/>
        <w:ind w:firstLine="420" w:firstLineChars="200"/>
      </w:pPr>
      <w:r>
        <w:rPr>
          <w:rFonts w:hint="eastAsia"/>
        </w:rPr>
        <w:t>靖边土豆</w:t>
      </w:r>
      <w:r>
        <w:t xml:space="preserve">  jingbian patato </w:t>
      </w:r>
    </w:p>
    <w:p>
      <w:pPr>
        <w:pStyle w:val="23"/>
      </w:pPr>
      <w:r>
        <w:rPr>
          <w:rFonts w:hint="eastAsia"/>
        </w:rPr>
        <w:t>在靖边土豆地理标志产品保护范围内，选用紫花白、冀张薯12、希森6号等品种种植生产符合本文件的土豆。</w:t>
      </w:r>
    </w:p>
    <w:p>
      <w:pPr>
        <w:pStyle w:val="44"/>
        <w:spacing w:before="156" w:after="156"/>
      </w:pPr>
    </w:p>
    <w:p>
      <w:pPr>
        <w:pStyle w:val="44"/>
        <w:numPr>
          <w:ilvl w:val="0"/>
          <w:numId w:val="0"/>
        </w:numPr>
        <w:spacing w:before="156" w:after="156"/>
        <w:ind w:firstLine="420" w:firstLineChars="200"/>
      </w:pPr>
      <w:r>
        <w:rPr>
          <w:rFonts w:hint="eastAsia"/>
        </w:rPr>
        <w:t xml:space="preserve">完整块茎 </w:t>
      </w:r>
      <w:r>
        <w:t xml:space="preserve"> </w:t>
      </w:r>
      <w:r>
        <w:rPr>
          <w:rFonts w:hint="eastAsia"/>
        </w:rPr>
        <w:t>complete tuber</w:t>
      </w:r>
      <w:r>
        <w:t xml:space="preserve"> </w:t>
      </w:r>
    </w:p>
    <w:p>
      <w:pPr>
        <w:pStyle w:val="23"/>
      </w:pPr>
      <w:r>
        <w:rPr>
          <w:rFonts w:hint="eastAsia"/>
        </w:rPr>
        <w:t>完整、无发绿及擦伤轻微（虫眼、机械伤、疮痂病斑、粉痂等小于等于表面积3</w:t>
      </w:r>
      <w:r>
        <w:t>%</w:t>
      </w:r>
      <w:r>
        <w:rPr>
          <w:rFonts w:hint="eastAsia"/>
        </w:rPr>
        <w:t>）的块茎。</w:t>
      </w:r>
    </w:p>
    <w:p>
      <w:pPr>
        <w:pStyle w:val="44"/>
        <w:spacing w:before="156" w:after="156"/>
      </w:pPr>
    </w:p>
    <w:p>
      <w:pPr>
        <w:pStyle w:val="44"/>
        <w:numPr>
          <w:ilvl w:val="0"/>
          <w:numId w:val="0"/>
        </w:numPr>
        <w:spacing w:before="156" w:after="156"/>
        <w:ind w:firstLine="420" w:firstLineChars="200"/>
      </w:pPr>
      <w:r>
        <w:rPr>
          <w:rFonts w:hint="eastAsia"/>
        </w:rPr>
        <w:t xml:space="preserve">不完整块茎 </w:t>
      </w:r>
      <w:r>
        <w:t xml:space="preserve"> </w:t>
      </w:r>
      <w:r>
        <w:rPr>
          <w:rFonts w:hint="eastAsia"/>
        </w:rPr>
        <w:t>incomplete tuger</w:t>
      </w:r>
      <w:r>
        <w:t xml:space="preserve"> </w:t>
      </w:r>
    </w:p>
    <w:p>
      <w:pPr>
        <w:pStyle w:val="23"/>
      </w:pPr>
      <w:r>
        <w:rPr>
          <w:rFonts w:hint="eastAsia"/>
        </w:rPr>
        <w:t>带病虫、损伤、腐烂、有裂纹、受冻、畸形、发青、发芽，或病斑、虫眼、机械伤、疮痂病斑等超过表面积3%以上的块茎。</w:t>
      </w:r>
    </w:p>
    <w:p>
      <w:pPr>
        <w:pStyle w:val="47"/>
        <w:numPr>
          <w:ilvl w:val="0"/>
          <w:numId w:val="0"/>
        </w:numPr>
        <w:spacing w:before="312" w:after="312"/>
      </w:pPr>
      <w:r>
        <w:t>3.4</w:t>
      </w:r>
    </w:p>
    <w:p>
      <w:pPr>
        <w:pStyle w:val="47"/>
        <w:numPr>
          <w:ilvl w:val="0"/>
          <w:numId w:val="0"/>
        </w:numPr>
        <w:spacing w:before="312" w:after="312"/>
        <w:ind w:firstLine="420" w:firstLineChars="200"/>
        <w:rPr>
          <w:szCs w:val="21"/>
        </w:rPr>
      </w:pPr>
      <w:r>
        <w:rPr>
          <w:rFonts w:hint="eastAsia"/>
          <w:szCs w:val="21"/>
        </w:rPr>
        <w:t xml:space="preserve">杂质  impurity </w:t>
      </w:r>
    </w:p>
    <w:p>
      <w:pPr>
        <w:pStyle w:val="23"/>
      </w:pPr>
      <w:r>
        <w:rPr>
          <w:rFonts w:hint="eastAsia"/>
        </w:rPr>
        <w:t>土豆表皮所附着的泥土及其他物质。</w:t>
      </w:r>
      <w:r>
        <w:tab/>
      </w:r>
    </w:p>
    <w:p>
      <w:pPr>
        <w:pStyle w:val="47"/>
        <w:spacing w:before="312" w:after="312"/>
      </w:pPr>
      <w:r>
        <w:rPr>
          <w:rFonts w:hint="eastAsia"/>
        </w:rPr>
        <w:t>地理标志产品靖边土豆保护范围</w:t>
      </w:r>
    </w:p>
    <w:p>
      <w:pPr>
        <w:pStyle w:val="23"/>
      </w:pPr>
      <w:r>
        <w:rPr>
          <w:rFonts w:hint="eastAsia"/>
        </w:rPr>
        <w:t>地理标志产品靖边土豆产地保护范围限于国家质检总局2015年第24号公告批准的范围内，见附录A。</w:t>
      </w:r>
    </w:p>
    <w:p>
      <w:pPr>
        <w:pStyle w:val="47"/>
        <w:spacing w:before="312" w:after="312"/>
      </w:pPr>
      <w:r>
        <w:rPr>
          <w:rFonts w:hint="eastAsia"/>
        </w:rPr>
        <w:t>生态条件</w:t>
      </w:r>
    </w:p>
    <w:p>
      <w:pPr>
        <w:pStyle w:val="44"/>
        <w:spacing w:before="156" w:after="156"/>
      </w:pPr>
      <w:r>
        <w:rPr>
          <w:rFonts w:hint="eastAsia"/>
        </w:rPr>
        <w:t>气候</w:t>
      </w:r>
      <w:r>
        <w:t xml:space="preserve">  </w:t>
      </w:r>
    </w:p>
    <w:p>
      <w:pPr>
        <w:pStyle w:val="23"/>
      </w:pPr>
      <w:r>
        <w:rPr>
          <w:rFonts w:hint="eastAsia"/>
        </w:rPr>
        <w:t>年平均气温10℃，年平均降水量395mm，年平均日照时数为2768.2h。10℃的植物生长有效积温为2800℃左右、无霜期130d。</w:t>
      </w:r>
    </w:p>
    <w:p>
      <w:pPr>
        <w:pStyle w:val="44"/>
        <w:spacing w:before="156" w:after="156"/>
      </w:pPr>
      <w:r>
        <w:rPr>
          <w:rFonts w:hint="eastAsia"/>
        </w:rPr>
        <w:t>土壤</w:t>
      </w:r>
      <w:r>
        <w:t xml:space="preserve">  </w:t>
      </w:r>
    </w:p>
    <w:p>
      <w:pPr>
        <w:pStyle w:val="23"/>
      </w:pPr>
      <w:r>
        <w:rPr>
          <w:rFonts w:hint="eastAsia"/>
        </w:rPr>
        <w:t>土壤类型应为黄绵土和黑垆土，质地为砂壤。土壤有机质≥0.67%，pH值在7-9之间。</w:t>
      </w:r>
    </w:p>
    <w:p>
      <w:pPr>
        <w:pStyle w:val="44"/>
        <w:spacing w:before="156" w:after="156"/>
      </w:pPr>
      <w:r>
        <w:rPr>
          <w:rFonts w:hint="eastAsia"/>
        </w:rPr>
        <w:t>环境</w:t>
      </w:r>
    </w:p>
    <w:p>
      <w:pPr>
        <w:pStyle w:val="23"/>
      </w:pPr>
      <w:r>
        <w:rPr>
          <w:rFonts w:hint="eastAsia"/>
        </w:rPr>
        <w:t>土豆生产区附近应无有害元素的厂矿（如铅矿、汞矿、砷矿等)，无工业废气和煤烟排放，无生活垃圾或工业、医疗废弃物填埋场；水源、大气、土壤应无污染。</w:t>
      </w:r>
    </w:p>
    <w:p>
      <w:pPr>
        <w:pStyle w:val="44"/>
        <w:spacing w:before="156" w:after="156"/>
      </w:pPr>
      <w:r>
        <w:rPr>
          <w:rFonts w:hint="eastAsia"/>
        </w:rPr>
        <w:t>种植地</w:t>
      </w:r>
    </w:p>
    <w:p>
      <w:pPr>
        <w:pStyle w:val="23"/>
      </w:pPr>
      <w:r>
        <w:rPr>
          <w:rFonts w:hint="eastAsia"/>
        </w:rPr>
        <w:t>选择地势平坦、有机质含量较为丰富、排灌方便且执行最多两年轮作制度的地块。</w:t>
      </w:r>
    </w:p>
    <w:p>
      <w:pPr>
        <w:pStyle w:val="44"/>
        <w:spacing w:before="156" w:after="156"/>
      </w:pPr>
      <w:r>
        <w:rPr>
          <w:rFonts w:hint="eastAsia"/>
        </w:rPr>
        <w:t>灌溉用水</w:t>
      </w:r>
    </w:p>
    <w:p>
      <w:pPr>
        <w:pStyle w:val="23"/>
      </w:pPr>
      <w:r>
        <w:rPr>
          <w:rFonts w:hint="eastAsia"/>
        </w:rPr>
        <w:t>灌溉用水应符合 GB</w:t>
      </w:r>
      <w:r>
        <w:t xml:space="preserve"> </w:t>
      </w:r>
      <w:r>
        <w:rPr>
          <w:rFonts w:hint="eastAsia"/>
        </w:rPr>
        <w:t>5084</w:t>
      </w:r>
      <w:r>
        <w:t xml:space="preserve"> </w:t>
      </w:r>
      <w:r>
        <w:rPr>
          <w:rFonts w:hint="eastAsia"/>
        </w:rPr>
        <w:t>的规定。</w:t>
      </w:r>
    </w:p>
    <w:p>
      <w:pPr>
        <w:pStyle w:val="44"/>
        <w:spacing w:before="156" w:after="156"/>
      </w:pPr>
      <w:r>
        <w:rPr>
          <w:rFonts w:hint="eastAsia"/>
        </w:rPr>
        <w:t>栽培技术</w:t>
      </w:r>
    </w:p>
    <w:p>
      <w:pPr>
        <w:pStyle w:val="48"/>
        <w:spacing w:before="156" w:after="156"/>
      </w:pPr>
      <w:r>
        <w:rPr>
          <w:rFonts w:hint="eastAsia"/>
        </w:rPr>
        <w:t>品种</w:t>
      </w:r>
    </w:p>
    <w:p>
      <w:pPr>
        <w:pStyle w:val="23"/>
      </w:pPr>
      <w:r>
        <w:rPr>
          <w:rFonts w:hint="eastAsia"/>
        </w:rPr>
        <w:t>应选用紫花白、冀张薯12、希森6号等优良品种。</w:t>
      </w:r>
    </w:p>
    <w:p>
      <w:pPr>
        <w:pStyle w:val="48"/>
        <w:spacing w:before="156" w:after="156"/>
      </w:pPr>
      <w:r>
        <w:rPr>
          <w:rFonts w:hint="eastAsia"/>
        </w:rPr>
        <w:t>种薯</w:t>
      </w:r>
    </w:p>
    <w:p>
      <w:pPr>
        <w:pStyle w:val="23"/>
        <w:rPr>
          <w:rFonts w:hAnsi="宋体"/>
          <w:szCs w:val="21"/>
        </w:rPr>
      </w:pPr>
      <w:r>
        <w:rPr>
          <w:rFonts w:hint="eastAsia"/>
        </w:rPr>
        <w:t>选择大小适中且符合GB</w:t>
      </w:r>
      <w:r>
        <w:t xml:space="preserve"> </w:t>
      </w:r>
      <w:r>
        <w:rPr>
          <w:rFonts w:hint="eastAsia"/>
        </w:rPr>
        <w:t>18133-2012的原种</w:t>
      </w:r>
      <w:r>
        <w:rPr>
          <w:rFonts w:hint="eastAsia" w:hAnsi="宋体"/>
          <w:szCs w:val="21"/>
        </w:rPr>
        <w:t>。</w:t>
      </w:r>
    </w:p>
    <w:p>
      <w:pPr>
        <w:pStyle w:val="48"/>
        <w:spacing w:before="156" w:after="156"/>
      </w:pPr>
      <w:r>
        <w:rPr>
          <w:rFonts w:hint="eastAsia"/>
        </w:rPr>
        <w:t>播种</w:t>
      </w:r>
    </w:p>
    <w:p>
      <w:pPr>
        <w:pStyle w:val="23"/>
        <w:rPr>
          <w:szCs w:val="21"/>
        </w:rPr>
      </w:pPr>
      <w:r>
        <w:rPr>
          <w:rFonts w:hint="eastAsia"/>
          <w:szCs w:val="21"/>
        </w:rPr>
        <w:t>播种时间为五月中下旬，播种密度宜为每公顷小于等于67000株。</w:t>
      </w:r>
    </w:p>
    <w:p>
      <w:pPr>
        <w:pStyle w:val="48"/>
        <w:spacing w:before="156" w:after="156"/>
      </w:pPr>
      <w:r>
        <w:rPr>
          <w:rFonts w:hint="eastAsia"/>
        </w:rPr>
        <w:t>施肥</w:t>
      </w:r>
    </w:p>
    <w:p>
      <w:pPr>
        <w:pStyle w:val="23"/>
        <w:rPr>
          <w:szCs w:val="21"/>
        </w:rPr>
      </w:pPr>
      <w:r>
        <w:rPr>
          <w:rFonts w:hint="eastAsia"/>
          <w:szCs w:val="21"/>
        </w:rPr>
        <w:t>应以有机肥、化肥结合使用，按照</w:t>
      </w:r>
      <w:r>
        <w:rPr>
          <w:rFonts w:hint="eastAsia"/>
        </w:rPr>
        <w:t>NY/T 496</w:t>
      </w:r>
      <w:r>
        <w:rPr>
          <w:rFonts w:hint="eastAsia"/>
          <w:szCs w:val="21"/>
        </w:rPr>
        <w:t>的规定执行。</w:t>
      </w:r>
    </w:p>
    <w:p>
      <w:pPr>
        <w:pStyle w:val="48"/>
        <w:spacing w:before="156" w:after="156"/>
      </w:pPr>
      <w:r>
        <w:rPr>
          <w:rFonts w:hint="eastAsia"/>
        </w:rPr>
        <w:t>病虫草害防治</w:t>
      </w:r>
    </w:p>
    <w:p>
      <w:pPr>
        <w:pStyle w:val="23"/>
      </w:pPr>
      <w:r>
        <w:rPr>
          <w:rFonts w:hint="eastAsia"/>
          <w:szCs w:val="21"/>
        </w:rPr>
        <w:t>应按照预防为主、综合防治的原则，以生物防治为主、化学防治为辅的绿色防控体系，</w:t>
      </w:r>
      <w:r>
        <w:rPr>
          <w:rFonts w:hint="eastAsia"/>
        </w:rPr>
        <w:t>农药的使用应符合 GB/T 8321.8</w:t>
      </w:r>
      <w:r>
        <w:t xml:space="preserve"> </w:t>
      </w:r>
      <w:r>
        <w:rPr>
          <w:rFonts w:hint="eastAsia"/>
        </w:rPr>
        <w:t>的规定。</w:t>
      </w:r>
    </w:p>
    <w:p>
      <w:pPr>
        <w:pStyle w:val="48"/>
        <w:spacing w:before="156" w:after="156"/>
      </w:pPr>
      <w:r>
        <w:rPr>
          <w:rFonts w:hint="eastAsia"/>
        </w:rPr>
        <w:t>收获</w:t>
      </w:r>
    </w:p>
    <w:p>
      <w:pPr>
        <w:pStyle w:val="23"/>
      </w:pPr>
      <w:r>
        <w:rPr>
          <w:rFonts w:hint="eastAsia"/>
        </w:rPr>
        <w:t>三分之二叶片变黄，或块茎达到生理成熟，宜收获；亦可根据市场需求，提前或延迟收获。收获后要单独对病薯以及破损薯处理，放置地点也要干燥、通风。</w:t>
      </w:r>
    </w:p>
    <w:p>
      <w:pPr>
        <w:pStyle w:val="47"/>
        <w:spacing w:before="312" w:after="312"/>
      </w:pPr>
      <w:r>
        <w:rPr>
          <w:rFonts w:hint="eastAsia"/>
        </w:rPr>
        <w:t>质量要求</w:t>
      </w:r>
    </w:p>
    <w:p>
      <w:pPr>
        <w:pStyle w:val="44"/>
        <w:spacing w:before="156" w:after="156"/>
      </w:pPr>
      <w:r>
        <w:rPr>
          <w:rFonts w:hint="eastAsia"/>
        </w:rPr>
        <w:t>感官指标</w:t>
      </w:r>
    </w:p>
    <w:p>
      <w:pPr>
        <w:pStyle w:val="23"/>
        <w:rPr>
          <w:highlight w:val="yellow"/>
        </w:rPr>
      </w:pPr>
      <w:r>
        <w:rPr>
          <w:rFonts w:hint="eastAsia"/>
        </w:rPr>
        <w:t>靖边土豆呈椭圆形，个头均匀，皮薄光滑，芽眼浅，呈淡黄色，肉质鲜亮；单薯重应大于等于150g。</w:t>
      </w:r>
    </w:p>
    <w:p>
      <w:pPr>
        <w:pStyle w:val="44"/>
        <w:spacing w:before="156" w:after="156"/>
      </w:pPr>
      <w:r>
        <w:rPr>
          <w:rFonts w:hint="eastAsia"/>
        </w:rPr>
        <w:t>理化指标</w:t>
      </w:r>
    </w:p>
    <w:p>
      <w:pPr>
        <w:pStyle w:val="23"/>
      </w:pPr>
      <w:r>
        <w:rPr>
          <w:rFonts w:hint="eastAsia"/>
        </w:rPr>
        <w:t>主要理化指标应符合表1的规定。</w:t>
      </w:r>
    </w:p>
    <w:p>
      <w:pPr>
        <w:pStyle w:val="23"/>
        <w:jc w:val="center"/>
        <w:rPr>
          <w:b/>
          <w:bCs/>
        </w:rPr>
      </w:pPr>
      <w:r>
        <w:rPr>
          <w:rFonts w:hint="eastAsia"/>
          <w:b/>
          <w:bCs/>
        </w:rPr>
        <w:t>表1</w:t>
      </w:r>
      <w:r>
        <w:rPr>
          <w:b/>
          <w:bCs/>
        </w:rPr>
        <w:t xml:space="preserve">  </w:t>
      </w:r>
      <w:r>
        <w:rPr>
          <w:rFonts w:hint="eastAsia"/>
          <w:b/>
          <w:bCs/>
        </w:rPr>
        <w:t>主要理化指标</w:t>
      </w:r>
    </w:p>
    <w:tbl>
      <w:tblPr>
        <w:tblStyle w:val="33"/>
        <w:tblpPr w:leftFromText="180" w:rightFromText="180" w:vertAnchor="text" w:horzAnchor="page" w:tblpX="1422" w:tblpY="318"/>
        <w:tblOverlap w:val="never"/>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4785"/>
        <w:gridCol w:w="478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4" w:hRule="atLeast"/>
        </w:trPr>
        <w:tc>
          <w:tcPr>
            <w:tcW w:w="4785" w:type="dxa"/>
          </w:tcPr>
          <w:p>
            <w:pPr>
              <w:pStyle w:val="23"/>
              <w:spacing w:line="480" w:lineRule="auto"/>
              <w:ind w:firstLine="0" w:firstLineChars="0"/>
              <w:jc w:val="center"/>
              <w:rPr>
                <w:szCs w:val="21"/>
              </w:rPr>
            </w:pPr>
            <w:r>
              <w:rPr>
                <w:rFonts w:hint="eastAsia"/>
                <w:szCs w:val="21"/>
              </w:rPr>
              <w:t>项目</w:t>
            </w:r>
          </w:p>
        </w:tc>
        <w:tc>
          <w:tcPr>
            <w:tcW w:w="4785" w:type="dxa"/>
            <w:vAlign w:val="center"/>
          </w:tcPr>
          <w:p>
            <w:pPr>
              <w:pStyle w:val="23"/>
              <w:ind w:firstLine="0" w:firstLineChars="0"/>
              <w:jc w:val="center"/>
              <w:rPr>
                <w:szCs w:val="21"/>
              </w:rPr>
            </w:pPr>
            <w:r>
              <w:rPr>
                <w:rFonts w:hint="eastAsia"/>
                <w:szCs w:val="21"/>
              </w:rPr>
              <w:t>指标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785" w:type="dxa"/>
          </w:tcPr>
          <w:p>
            <w:pPr>
              <w:pStyle w:val="23"/>
              <w:ind w:firstLine="0" w:firstLineChars="0"/>
              <w:rPr>
                <w:szCs w:val="21"/>
              </w:rPr>
            </w:pPr>
            <w:r>
              <w:rPr>
                <w:rFonts w:hint="eastAsia"/>
                <w:szCs w:val="21"/>
              </w:rPr>
              <w:t xml:space="preserve">水分(%) </w:t>
            </w:r>
            <w:r>
              <w:rPr>
                <w:szCs w:val="21"/>
              </w:rPr>
              <w:t xml:space="preserve">                                    </w:t>
            </w:r>
          </w:p>
        </w:tc>
        <w:tc>
          <w:tcPr>
            <w:tcW w:w="4785" w:type="dxa"/>
          </w:tcPr>
          <w:p>
            <w:pPr>
              <w:pStyle w:val="23"/>
              <w:ind w:firstLine="1890" w:firstLineChars="900"/>
              <w:rPr>
                <w:szCs w:val="21"/>
              </w:rPr>
            </w:pPr>
            <w:r>
              <w:rPr>
                <w:rFonts w:hint="eastAsia"/>
                <w:szCs w:val="21"/>
              </w:rPr>
              <w:t>≤8</w:t>
            </w:r>
            <w:r>
              <w:rPr>
                <w:szCs w:val="21"/>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72" w:hRule="atLeast"/>
        </w:trPr>
        <w:tc>
          <w:tcPr>
            <w:tcW w:w="4785" w:type="dxa"/>
          </w:tcPr>
          <w:p>
            <w:pPr>
              <w:pStyle w:val="23"/>
              <w:ind w:firstLine="0" w:firstLineChars="0"/>
              <w:rPr>
                <w:szCs w:val="21"/>
              </w:rPr>
            </w:pPr>
            <w:r>
              <w:rPr>
                <w:rFonts w:hint="eastAsia"/>
                <w:szCs w:val="21"/>
              </w:rPr>
              <w:t>淀粉</w:t>
            </w:r>
            <w:r>
              <w:rPr>
                <w:rFonts w:hint="eastAsia"/>
                <w:szCs w:val="18"/>
              </w:rPr>
              <w:t>(mg/100g)</w:t>
            </w:r>
            <w:r>
              <w:rPr>
                <w:rFonts w:hint="eastAsia"/>
                <w:szCs w:val="21"/>
              </w:rPr>
              <w:t xml:space="preserve"> </w:t>
            </w:r>
            <w:r>
              <w:rPr>
                <w:szCs w:val="21"/>
              </w:rPr>
              <w:t xml:space="preserve">                                   </w:t>
            </w:r>
          </w:p>
        </w:tc>
        <w:tc>
          <w:tcPr>
            <w:tcW w:w="4785" w:type="dxa"/>
          </w:tcPr>
          <w:p>
            <w:pPr>
              <w:pStyle w:val="23"/>
              <w:ind w:firstLine="1890" w:firstLineChars="900"/>
              <w:rPr>
                <w:szCs w:val="21"/>
              </w:rPr>
            </w:pPr>
            <w:r>
              <w:rPr>
                <w:rFonts w:hint="eastAsia"/>
                <w:szCs w:val="21"/>
              </w:rPr>
              <w:t>≥11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785" w:type="dxa"/>
          </w:tcPr>
          <w:p>
            <w:pPr>
              <w:pStyle w:val="23"/>
              <w:ind w:firstLine="0" w:firstLineChars="0"/>
              <w:rPr>
                <w:szCs w:val="21"/>
              </w:rPr>
            </w:pPr>
            <w:r>
              <w:rPr>
                <w:rFonts w:hint="eastAsia"/>
                <w:szCs w:val="21"/>
              </w:rPr>
              <w:t>维生素C</w:t>
            </w:r>
            <w:r>
              <w:rPr>
                <w:rFonts w:hint="eastAsia"/>
                <w:szCs w:val="18"/>
              </w:rPr>
              <w:t>(mg/100g)</w:t>
            </w:r>
            <w:r>
              <w:rPr>
                <w:rFonts w:hint="eastAsia"/>
                <w:szCs w:val="21"/>
              </w:rPr>
              <w:t xml:space="preserve">                                 </w:t>
            </w:r>
          </w:p>
        </w:tc>
        <w:tc>
          <w:tcPr>
            <w:tcW w:w="4785" w:type="dxa"/>
          </w:tcPr>
          <w:p>
            <w:pPr>
              <w:pStyle w:val="23"/>
              <w:ind w:firstLine="0" w:firstLineChars="0"/>
              <w:jc w:val="center"/>
              <w:rPr>
                <w:szCs w:val="21"/>
              </w:rPr>
            </w:pPr>
            <w:r>
              <w:rPr>
                <w:rFonts w:hint="eastAsia"/>
                <w:szCs w:val="21"/>
              </w:rPr>
              <w:t>≥0.014</w:t>
            </w:r>
          </w:p>
        </w:tc>
      </w:tr>
    </w:tbl>
    <w:p>
      <w:pPr>
        <w:pStyle w:val="23"/>
        <w:ind w:firstLine="0" w:firstLineChars="0"/>
      </w:pPr>
    </w:p>
    <w:p>
      <w:pPr>
        <w:pStyle w:val="44"/>
        <w:spacing w:before="156" w:after="156"/>
      </w:pPr>
      <w:r>
        <w:rPr>
          <w:rFonts w:hint="eastAsia"/>
        </w:rPr>
        <w:t>安全指标</w:t>
      </w:r>
    </w:p>
    <w:p>
      <w:pPr>
        <w:pStyle w:val="48"/>
        <w:spacing w:before="156" w:after="156"/>
      </w:pPr>
      <w:r>
        <w:rPr>
          <w:rFonts w:hint="eastAsia"/>
        </w:rPr>
        <w:t>污染物限量要求</w:t>
      </w:r>
    </w:p>
    <w:p>
      <w:pPr>
        <w:pStyle w:val="23"/>
      </w:pPr>
      <w:r>
        <w:rPr>
          <w:rFonts w:hint="eastAsia"/>
        </w:rPr>
        <w:t>铅、镉、汞、</w:t>
      </w:r>
      <w:r>
        <w:rPr>
          <w:rFonts w:ascii="Noto Sans" w:hAnsi="Noto Sans" w:cs="Noto Sans"/>
          <w:color w:val="24292F"/>
          <w:szCs w:val="21"/>
        </w:rPr>
        <w:t>铬</w:t>
      </w:r>
      <w:r>
        <w:rPr>
          <w:rFonts w:hint="eastAsia" w:ascii="Noto Sans" w:hAnsi="Noto Sans" w:cs="Noto Sans"/>
          <w:color w:val="24292F"/>
          <w:szCs w:val="21"/>
        </w:rPr>
        <w:t>等重金属</w:t>
      </w:r>
      <w:r>
        <w:rPr>
          <w:rFonts w:hint="eastAsia"/>
        </w:rPr>
        <w:t>含量应符合 GB 2762</w:t>
      </w:r>
      <w:r>
        <w:t xml:space="preserve">-2022 </w:t>
      </w:r>
      <w:r>
        <w:rPr>
          <w:rFonts w:hint="eastAsia"/>
        </w:rPr>
        <w:t>规定的要求。</w:t>
      </w:r>
    </w:p>
    <w:p>
      <w:pPr>
        <w:pStyle w:val="48"/>
        <w:spacing w:before="156" w:after="156"/>
      </w:pPr>
      <w:r>
        <w:rPr>
          <w:rFonts w:hint="eastAsia"/>
        </w:rPr>
        <w:t>农药残留限量要求</w:t>
      </w:r>
    </w:p>
    <w:p>
      <w:pPr>
        <w:pStyle w:val="23"/>
      </w:pPr>
      <w:r>
        <w:rPr>
          <w:rFonts w:hint="eastAsia"/>
        </w:rPr>
        <w:t>应符合 GB 2763</w:t>
      </w:r>
      <w:r>
        <w:t xml:space="preserve">-2021 </w:t>
      </w:r>
      <w:r>
        <w:rPr>
          <w:rFonts w:hint="eastAsia"/>
        </w:rPr>
        <w:t>规定的要求。</w:t>
      </w:r>
    </w:p>
    <w:p>
      <w:pPr>
        <w:pStyle w:val="47"/>
        <w:spacing w:before="312" w:after="312"/>
      </w:pPr>
      <w:r>
        <w:rPr>
          <w:rFonts w:hint="eastAsia"/>
        </w:rPr>
        <w:t>检验方法</w:t>
      </w:r>
    </w:p>
    <w:p>
      <w:pPr>
        <w:pStyle w:val="44"/>
        <w:spacing w:before="156" w:after="156"/>
      </w:pPr>
      <w:r>
        <w:rPr>
          <w:rFonts w:hint="eastAsia"/>
        </w:rPr>
        <w:t>感官指标检验</w:t>
      </w:r>
    </w:p>
    <w:p>
      <w:pPr>
        <w:pStyle w:val="23"/>
        <w:rPr>
          <w:kern w:val="2"/>
        </w:rPr>
      </w:pPr>
      <w:r>
        <w:rPr>
          <w:rFonts w:hint="eastAsia"/>
          <w:kern w:val="2"/>
        </w:rPr>
        <w:t>应符合</w:t>
      </w:r>
      <w:r>
        <w:rPr>
          <w:rFonts w:hint="eastAsia"/>
        </w:rPr>
        <w:t>国家质检总局2015年第24号公告的规定</w:t>
      </w:r>
      <w:r>
        <w:rPr>
          <w:rFonts w:hint="eastAsia"/>
          <w:kern w:val="2"/>
        </w:rPr>
        <w:t>。</w:t>
      </w:r>
    </w:p>
    <w:p>
      <w:pPr>
        <w:pStyle w:val="44"/>
        <w:spacing w:before="156" w:after="156"/>
      </w:pPr>
      <w:r>
        <w:rPr>
          <w:rFonts w:hint="eastAsia"/>
        </w:rPr>
        <w:t>理化指标检验</w:t>
      </w:r>
    </w:p>
    <w:p>
      <w:pPr>
        <w:pStyle w:val="48"/>
        <w:spacing w:before="156" w:after="156"/>
        <w:rPr>
          <w:rFonts w:asciiTheme="minorEastAsia" w:hAnsiTheme="minorEastAsia" w:eastAsiaTheme="minorEastAsia"/>
        </w:rPr>
      </w:pPr>
      <w:r>
        <w:rPr>
          <w:rFonts w:hint="eastAsia" w:asciiTheme="minorEastAsia" w:hAnsiTheme="minorEastAsia" w:eastAsiaTheme="minorEastAsia"/>
        </w:rPr>
        <w:t>水分的测定应按 GB5009.3</w:t>
      </w:r>
      <w:r>
        <w:rPr>
          <w:rFonts w:asciiTheme="minorEastAsia" w:hAnsiTheme="minorEastAsia" w:eastAsiaTheme="minorEastAsia"/>
        </w:rPr>
        <w:t xml:space="preserve"> </w:t>
      </w:r>
      <w:r>
        <w:rPr>
          <w:rFonts w:hint="eastAsia" w:asciiTheme="minorEastAsia" w:hAnsiTheme="minorEastAsia" w:eastAsiaTheme="minorEastAsia"/>
        </w:rPr>
        <w:t>的规定执行。</w:t>
      </w:r>
    </w:p>
    <w:p>
      <w:pPr>
        <w:pStyle w:val="48"/>
        <w:spacing w:before="156" w:after="156"/>
        <w:rPr>
          <w:rFonts w:asciiTheme="minorEastAsia" w:hAnsiTheme="minorEastAsia" w:eastAsiaTheme="minorEastAsia"/>
        </w:rPr>
      </w:pPr>
      <w:r>
        <w:rPr>
          <w:rFonts w:hint="eastAsia" w:asciiTheme="minorEastAsia" w:hAnsiTheme="minorEastAsia" w:eastAsiaTheme="minorEastAsia"/>
        </w:rPr>
        <w:t>淀粉的测定应按 GB5009.</w:t>
      </w:r>
      <w:r>
        <w:rPr>
          <w:rFonts w:asciiTheme="minorEastAsia" w:hAnsiTheme="minorEastAsia" w:eastAsiaTheme="minorEastAsia"/>
        </w:rPr>
        <w:t xml:space="preserve">9 </w:t>
      </w:r>
      <w:r>
        <w:rPr>
          <w:rFonts w:hint="eastAsia" w:asciiTheme="minorEastAsia" w:hAnsiTheme="minorEastAsia" w:eastAsiaTheme="minorEastAsia"/>
        </w:rPr>
        <w:t>的规定执行。</w:t>
      </w:r>
    </w:p>
    <w:p>
      <w:pPr>
        <w:pStyle w:val="48"/>
        <w:spacing w:before="156" w:after="156"/>
        <w:rPr>
          <w:rFonts w:asciiTheme="minorEastAsia" w:hAnsiTheme="minorEastAsia" w:eastAsiaTheme="minorEastAsia"/>
        </w:rPr>
      </w:pPr>
      <w:r>
        <w:rPr>
          <w:rFonts w:hint="eastAsia" w:asciiTheme="minorEastAsia" w:hAnsiTheme="minorEastAsia" w:eastAsiaTheme="minorEastAsia"/>
        </w:rPr>
        <w:t>维生素C的测定应按</w:t>
      </w:r>
      <w:r>
        <w:rPr>
          <w:rFonts w:asciiTheme="minorEastAsia" w:hAnsiTheme="minorEastAsia" w:eastAsiaTheme="minorEastAsia"/>
        </w:rPr>
        <w:t xml:space="preserve"> GB 5009.</w:t>
      </w:r>
      <w:r>
        <w:rPr>
          <w:rFonts w:hint="eastAsia" w:asciiTheme="minorEastAsia" w:hAnsiTheme="minorEastAsia" w:eastAsiaTheme="minorEastAsia"/>
        </w:rPr>
        <w:t>86</w:t>
      </w:r>
      <w:r>
        <w:rPr>
          <w:rFonts w:asciiTheme="minorEastAsia" w:hAnsiTheme="minorEastAsia" w:eastAsiaTheme="minorEastAsia"/>
        </w:rPr>
        <w:t xml:space="preserve"> </w:t>
      </w:r>
      <w:r>
        <w:rPr>
          <w:rFonts w:hint="eastAsia" w:asciiTheme="minorEastAsia" w:hAnsiTheme="minorEastAsia" w:eastAsiaTheme="minorEastAsia"/>
        </w:rPr>
        <w:t>的规定执行。</w:t>
      </w:r>
    </w:p>
    <w:p>
      <w:pPr>
        <w:pStyle w:val="44"/>
        <w:spacing w:before="156" w:after="156"/>
      </w:pPr>
      <w:r>
        <w:rPr>
          <w:rFonts w:hint="eastAsia"/>
        </w:rPr>
        <w:t>安全指标检验</w:t>
      </w:r>
    </w:p>
    <w:p>
      <w:pPr>
        <w:pStyle w:val="48"/>
        <w:spacing w:before="156" w:after="156"/>
        <w:rPr>
          <w:rFonts w:ascii="宋体" w:hAnsi="宋体" w:eastAsia="宋体"/>
        </w:rPr>
      </w:pPr>
      <w:r>
        <w:rPr>
          <w:rFonts w:hint="eastAsia" w:ascii="宋体" w:hAnsi="宋体" w:eastAsia="宋体"/>
        </w:rPr>
        <w:t>靖边土豆中的铅、镉、汞、</w:t>
      </w:r>
      <w:r>
        <w:rPr>
          <w:rFonts w:ascii="宋体" w:hAnsi="宋体" w:eastAsia="宋体" w:cs="Noto Sans"/>
          <w:color w:val="24292F"/>
        </w:rPr>
        <w:t>铬</w:t>
      </w:r>
      <w:r>
        <w:rPr>
          <w:rFonts w:hint="eastAsia" w:ascii="宋体" w:hAnsi="宋体" w:eastAsia="宋体"/>
        </w:rPr>
        <w:t>含量应按 GB 2762</w:t>
      </w:r>
      <w:r>
        <w:rPr>
          <w:rFonts w:ascii="宋体" w:hAnsi="宋体" w:eastAsia="宋体"/>
        </w:rPr>
        <w:t xml:space="preserve"> </w:t>
      </w:r>
      <w:r>
        <w:rPr>
          <w:rFonts w:hint="eastAsia" w:ascii="宋体" w:hAnsi="宋体" w:eastAsia="宋体"/>
        </w:rPr>
        <w:t>的规定执行。</w:t>
      </w:r>
    </w:p>
    <w:p>
      <w:pPr>
        <w:pStyle w:val="48"/>
        <w:spacing w:before="156" w:after="156"/>
        <w:rPr>
          <w:rFonts w:ascii="宋体" w:hAnsi="宋体" w:eastAsia="宋体"/>
        </w:rPr>
      </w:pPr>
      <w:r>
        <w:rPr>
          <w:rFonts w:hint="eastAsia" w:ascii="宋体" w:hAnsi="宋体" w:eastAsia="宋体"/>
        </w:rPr>
        <w:t>农药残留限量应按 GB 276</w:t>
      </w:r>
      <w:r>
        <w:rPr>
          <w:rFonts w:ascii="宋体" w:hAnsi="宋体" w:eastAsia="宋体"/>
        </w:rPr>
        <w:t xml:space="preserve">3 </w:t>
      </w:r>
      <w:r>
        <w:rPr>
          <w:rFonts w:hint="eastAsia" w:ascii="宋体" w:hAnsi="宋体" w:eastAsia="宋体"/>
        </w:rPr>
        <w:t>的规定执行。</w:t>
      </w:r>
    </w:p>
    <w:p>
      <w:pPr>
        <w:pStyle w:val="47"/>
        <w:spacing w:before="312" w:after="312"/>
      </w:pPr>
      <w:r>
        <w:rPr>
          <w:rFonts w:hint="eastAsia"/>
        </w:rPr>
        <w:t>检验规则</w:t>
      </w:r>
    </w:p>
    <w:p>
      <w:pPr>
        <w:pStyle w:val="44"/>
        <w:spacing w:before="156" w:after="156"/>
      </w:pPr>
      <w:r>
        <w:rPr>
          <w:rFonts w:hint="eastAsia"/>
        </w:rPr>
        <w:t>组批、抽样</w:t>
      </w:r>
    </w:p>
    <w:p>
      <w:pPr>
        <w:pStyle w:val="48"/>
        <w:spacing w:before="156" w:after="156"/>
        <w:rPr>
          <w:rFonts w:asciiTheme="minorEastAsia" w:hAnsiTheme="minorEastAsia" w:eastAsiaTheme="minorEastAsia"/>
        </w:rPr>
      </w:pPr>
      <w:r>
        <w:rPr>
          <w:rFonts w:hint="eastAsia" w:asciiTheme="minorEastAsia" w:hAnsiTheme="minorEastAsia" w:eastAsiaTheme="minorEastAsia"/>
        </w:rPr>
        <w:t>同一产地、同一品种、同一栽培技术、同一采收季节生产的土豆应为一个检验批次。</w:t>
      </w:r>
    </w:p>
    <w:p>
      <w:pPr>
        <w:pStyle w:val="48"/>
        <w:spacing w:before="156" w:after="156"/>
        <w:rPr>
          <w:rFonts w:asciiTheme="minorEastAsia" w:hAnsiTheme="minorEastAsia" w:eastAsiaTheme="minorEastAsia"/>
        </w:rPr>
      </w:pPr>
      <w:r>
        <w:rPr>
          <w:rFonts w:hint="eastAsia" w:asciiTheme="minorEastAsia" w:hAnsiTheme="minorEastAsia" w:eastAsiaTheme="minorEastAsia"/>
        </w:rPr>
        <w:t>净含量检验的抽样应按《定量包装商品计量监督管理办法》的规定执行。</w:t>
      </w:r>
    </w:p>
    <w:p>
      <w:pPr>
        <w:pStyle w:val="48"/>
        <w:spacing w:before="156" w:after="156"/>
      </w:pPr>
      <w:r>
        <w:rPr>
          <w:rFonts w:hint="eastAsia" w:asciiTheme="minorEastAsia" w:hAnsiTheme="minorEastAsia" w:eastAsiaTheme="minorEastAsia"/>
        </w:rPr>
        <w:t>质量检验的抽样方法应按 GB/T</w:t>
      </w:r>
      <w:r>
        <w:rPr>
          <w:rFonts w:asciiTheme="minorEastAsia" w:hAnsiTheme="minorEastAsia" w:eastAsiaTheme="minorEastAsia"/>
        </w:rPr>
        <w:t xml:space="preserve"> </w:t>
      </w:r>
      <w:r>
        <w:rPr>
          <w:rFonts w:hint="eastAsia" w:asciiTheme="minorEastAsia" w:hAnsiTheme="minorEastAsia" w:eastAsiaTheme="minorEastAsia"/>
        </w:rPr>
        <w:t>8855</w:t>
      </w:r>
      <w:r>
        <w:rPr>
          <w:rFonts w:asciiTheme="minorEastAsia" w:hAnsiTheme="minorEastAsia" w:eastAsiaTheme="minorEastAsia"/>
        </w:rPr>
        <w:t xml:space="preserve"> </w:t>
      </w:r>
      <w:r>
        <w:rPr>
          <w:rFonts w:hint="eastAsia" w:asciiTheme="minorEastAsia" w:hAnsiTheme="minorEastAsia" w:eastAsiaTheme="minorEastAsia"/>
        </w:rPr>
        <w:t>的规定执行</w:t>
      </w:r>
      <w:r>
        <w:rPr>
          <w:rFonts w:hint="eastAsia"/>
        </w:rPr>
        <w:t>。</w:t>
      </w:r>
    </w:p>
    <w:p>
      <w:pPr>
        <w:pStyle w:val="44"/>
        <w:spacing w:before="156" w:after="156"/>
      </w:pPr>
      <w:r>
        <w:rPr>
          <w:rFonts w:hint="eastAsia"/>
        </w:rPr>
        <w:t>检验类型</w:t>
      </w:r>
    </w:p>
    <w:p>
      <w:pPr>
        <w:pStyle w:val="48"/>
        <w:spacing w:before="156" w:after="156"/>
      </w:pPr>
      <w:r>
        <w:rPr>
          <w:rFonts w:hint="eastAsia"/>
        </w:rPr>
        <w:t>型式检验</w:t>
      </w:r>
    </w:p>
    <w:p>
      <w:pPr>
        <w:pStyle w:val="23"/>
      </w:pPr>
      <w:r>
        <w:rPr>
          <w:rFonts w:hint="eastAsia"/>
        </w:rPr>
        <w:t>型式检验项目应为规定的所有项目。正常生产时，每年应至少进行一次型式检验。有下列情形之一者，应进行型式检验：</w:t>
      </w:r>
    </w:p>
    <w:p>
      <w:pPr>
        <w:pStyle w:val="23"/>
        <w:ind w:left="420" w:firstLine="0" w:firstLineChars="0"/>
      </w:pPr>
      <w:r>
        <w:rPr>
          <w:rFonts w:hint="eastAsia"/>
        </w:rPr>
        <w:t>a)国家质量监督机构或行业主管部门提出抽查检验要求时；</w:t>
      </w:r>
    </w:p>
    <w:p>
      <w:pPr>
        <w:pStyle w:val="23"/>
        <w:ind w:left="420" w:firstLine="0" w:firstLineChars="0"/>
      </w:pPr>
      <w:r>
        <w:rPr>
          <w:rFonts w:hint="eastAsia"/>
        </w:rPr>
        <w:t>b)前后两次抽样检验结果差异较大时；</w:t>
      </w:r>
    </w:p>
    <w:p>
      <w:pPr>
        <w:pStyle w:val="23"/>
        <w:ind w:left="420" w:firstLine="0" w:firstLineChars="0"/>
      </w:pPr>
      <w:r>
        <w:rPr>
          <w:rFonts w:hint="eastAsia"/>
        </w:rPr>
        <w:t>c)因人为或自然因素使生产环境发生较大变化时。</w:t>
      </w:r>
    </w:p>
    <w:p>
      <w:pPr>
        <w:pStyle w:val="48"/>
        <w:spacing w:before="156" w:after="156"/>
      </w:pPr>
      <w:r>
        <w:rPr>
          <w:rFonts w:hint="eastAsia"/>
        </w:rPr>
        <w:t>交收检验</w:t>
      </w:r>
    </w:p>
    <w:p>
      <w:pPr>
        <w:pStyle w:val="23"/>
      </w:pPr>
      <w:r>
        <w:rPr>
          <w:rFonts w:hint="eastAsia"/>
        </w:rPr>
        <w:t>每批土豆交收前生产者都应进行交收检验。交收检验项目应包括包装、标志、感官指标，检验合格并附合格证的土豆方可交收。</w:t>
      </w:r>
    </w:p>
    <w:p>
      <w:pPr>
        <w:pStyle w:val="44"/>
        <w:spacing w:before="156" w:after="156"/>
      </w:pPr>
      <w:r>
        <w:rPr>
          <w:rFonts w:hint="eastAsia"/>
        </w:rPr>
        <w:t>判定规则</w:t>
      </w:r>
    </w:p>
    <w:p>
      <w:pPr>
        <w:pStyle w:val="48"/>
        <w:spacing w:before="156" w:after="156"/>
      </w:pPr>
      <w:r>
        <w:rPr>
          <w:rFonts w:hint="eastAsia"/>
        </w:rPr>
        <w:t>型式检验判定规则</w:t>
      </w:r>
    </w:p>
    <w:p>
      <w:pPr>
        <w:pStyle w:val="23"/>
        <w:rPr>
          <w:rFonts w:hAnsi="宋体"/>
          <w:szCs w:val="21"/>
        </w:rPr>
      </w:pPr>
      <w:r>
        <w:rPr>
          <w:rFonts w:hint="eastAsia"/>
        </w:rPr>
        <w:t>型式检验项目结果全部符合本文件要求时，该批产品判定为合格；安全指标中有一项不合格，判定为不合格；检验结果中除安全指标外有一项及以上不符合本文件要求时，使用备样对不合格项进行复检（安全指标不合格不得复检），复检结果符合本文件要求时，该批产品判定为合格；如复检结果仍不符合本文件要求，则判定该批产品为不合格</w:t>
      </w:r>
      <w:r>
        <w:rPr>
          <w:rFonts w:hint="eastAsia" w:hAnsi="宋体"/>
          <w:szCs w:val="21"/>
        </w:rPr>
        <w:t>。</w:t>
      </w:r>
    </w:p>
    <w:p>
      <w:pPr>
        <w:pStyle w:val="48"/>
        <w:spacing w:before="156" w:after="156"/>
      </w:pPr>
      <w:r>
        <w:rPr>
          <w:rFonts w:hint="eastAsia"/>
        </w:rPr>
        <w:t>交收检验判定规则</w:t>
      </w:r>
    </w:p>
    <w:p>
      <w:pPr>
        <w:pStyle w:val="23"/>
        <w:rPr>
          <w:szCs w:val="21"/>
        </w:rPr>
      </w:pPr>
      <w:r>
        <w:rPr>
          <w:rFonts w:hint="eastAsia"/>
          <w:szCs w:val="21"/>
        </w:rPr>
        <w:t>交收检验项目全部符合本文件要求时，该批产品判定为合格；检验结果不符合本文件要求时，使用备样对不合格项目进行复检，如复检结果仍不符合本文件要求，则判定该批产品为不合格。</w:t>
      </w:r>
    </w:p>
    <w:p>
      <w:pPr>
        <w:pStyle w:val="47"/>
        <w:spacing w:before="312" w:after="312"/>
      </w:pPr>
      <w:r>
        <w:rPr>
          <w:rFonts w:hint="eastAsia"/>
        </w:rPr>
        <w:t>标志</w:t>
      </w:r>
    </w:p>
    <w:p>
      <w:pPr>
        <w:pStyle w:val="23"/>
      </w:pPr>
      <w:r>
        <w:rPr>
          <w:rFonts w:hint="eastAsia"/>
        </w:rPr>
        <w:t>外包装箱的包装储运图示标志应符合 GB/T 191</w:t>
      </w:r>
      <w:r>
        <w:t xml:space="preserve"> </w:t>
      </w:r>
      <w:r>
        <w:rPr>
          <w:rFonts w:hint="eastAsia"/>
        </w:rPr>
        <w:t>的规定</w:t>
      </w:r>
      <w:r>
        <w:rPr>
          <w:rFonts w:hint="eastAsia" w:hAnsi="宋体"/>
          <w:szCs w:val="21"/>
        </w:rPr>
        <w:t>。</w:t>
      </w:r>
    </w:p>
    <w:p>
      <w:pPr>
        <w:pStyle w:val="47"/>
        <w:spacing w:before="312" w:after="312"/>
      </w:pPr>
      <w:r>
        <w:rPr>
          <w:rFonts w:hint="eastAsia"/>
        </w:rPr>
        <w:t>包装、运输和贮藏</w:t>
      </w:r>
    </w:p>
    <w:p>
      <w:pPr>
        <w:pStyle w:val="44"/>
        <w:spacing w:before="156" w:after="156"/>
      </w:pPr>
      <w:r>
        <w:rPr>
          <w:rFonts w:hint="eastAsia"/>
        </w:rPr>
        <w:t>包装</w:t>
      </w:r>
    </w:p>
    <w:p>
      <w:pPr>
        <w:pStyle w:val="23"/>
      </w:pPr>
      <w:r>
        <w:rPr>
          <w:rFonts w:hint="eastAsia"/>
        </w:rPr>
        <w:t>土豆收获后应及时分类，包装袋符合 GB/T 31784</w:t>
      </w:r>
      <w:r>
        <w:t xml:space="preserve"> </w:t>
      </w:r>
      <w:r>
        <w:rPr>
          <w:rFonts w:hint="eastAsia"/>
        </w:rPr>
        <w:t>的规定。</w:t>
      </w:r>
    </w:p>
    <w:p>
      <w:pPr>
        <w:pStyle w:val="44"/>
        <w:spacing w:before="156" w:after="156"/>
      </w:pPr>
      <w:r>
        <w:rPr>
          <w:rFonts w:hint="eastAsia"/>
        </w:rPr>
        <w:t>运输</w:t>
      </w:r>
    </w:p>
    <w:p>
      <w:pPr>
        <w:pStyle w:val="23"/>
      </w:pPr>
      <w:r>
        <w:rPr>
          <w:rFonts w:hint="eastAsia"/>
        </w:rPr>
        <w:t>运输工具应清洁卫生、无污染，不应与有害、有毒、有异味和其他易污染物品混运，装运时应轻装轻卸，防止机械损伤。运输过程中应防冻、防晒、防雨淋，保持通风。</w:t>
      </w:r>
    </w:p>
    <w:p>
      <w:pPr>
        <w:pStyle w:val="44"/>
        <w:spacing w:before="156" w:after="156"/>
      </w:pPr>
      <w:r>
        <w:rPr>
          <w:rFonts w:hint="eastAsia"/>
        </w:rPr>
        <w:t>贮藏</w:t>
      </w:r>
    </w:p>
    <w:p>
      <w:pPr>
        <w:pStyle w:val="23"/>
      </w:pPr>
      <w:r>
        <w:rPr>
          <w:rFonts w:hint="eastAsia"/>
        </w:rPr>
        <w:t xml:space="preserve">按 </w:t>
      </w:r>
      <w:r>
        <w:t xml:space="preserve">GB/T 25872 </w:t>
      </w:r>
      <w:r>
        <w:rPr>
          <w:rFonts w:hint="eastAsia"/>
        </w:rPr>
        <w:t>中相关规定执行。</w:t>
      </w:r>
    </w:p>
    <w:p>
      <w:pPr>
        <w:pStyle w:val="47"/>
        <w:spacing w:before="312" w:after="312"/>
      </w:pPr>
      <w:r>
        <w:rPr>
          <w:rFonts w:hint="eastAsia"/>
        </w:rPr>
        <w:t>靖边土豆专用标志的使用</w:t>
      </w:r>
    </w:p>
    <w:p>
      <w:pPr>
        <w:pStyle w:val="44"/>
        <w:spacing w:before="156" w:after="156"/>
        <w:rPr>
          <w:rFonts w:asciiTheme="minorEastAsia" w:hAnsiTheme="minorEastAsia" w:eastAsiaTheme="minorEastAsia"/>
        </w:rPr>
      </w:pPr>
      <w:r>
        <w:rPr>
          <w:rFonts w:hint="eastAsia" w:asciiTheme="minorEastAsia" w:hAnsiTheme="minorEastAsia" w:eastAsiaTheme="minorEastAsia"/>
        </w:rPr>
        <w:t>获得国家质检总局批准的单位使用靖边土豆地理标志保护产品专用标签应符合 GB 7718</w:t>
      </w:r>
      <w:r>
        <w:rPr>
          <w:rFonts w:asciiTheme="minorEastAsia" w:hAnsiTheme="minorEastAsia" w:eastAsiaTheme="minorEastAsia"/>
        </w:rPr>
        <w:t xml:space="preserve"> </w:t>
      </w:r>
      <w:r>
        <w:rPr>
          <w:rFonts w:hint="eastAsia" w:asciiTheme="minorEastAsia" w:hAnsiTheme="minorEastAsia" w:eastAsiaTheme="minorEastAsia"/>
        </w:rPr>
        <w:t>和 GB/T</w:t>
      </w:r>
      <w:r>
        <w:rPr>
          <w:rFonts w:asciiTheme="minorEastAsia" w:hAnsiTheme="minorEastAsia" w:eastAsiaTheme="minorEastAsia"/>
        </w:rPr>
        <w:t xml:space="preserve"> </w:t>
      </w:r>
      <w:r>
        <w:rPr>
          <w:rFonts w:hint="eastAsia" w:asciiTheme="minorEastAsia" w:hAnsiTheme="minorEastAsia" w:eastAsiaTheme="minorEastAsia"/>
        </w:rPr>
        <w:t>17924</w:t>
      </w:r>
      <w:r>
        <w:rPr>
          <w:rFonts w:asciiTheme="minorEastAsia" w:hAnsiTheme="minorEastAsia" w:eastAsiaTheme="minorEastAsia"/>
        </w:rPr>
        <w:t xml:space="preserve"> </w:t>
      </w:r>
      <w:r>
        <w:rPr>
          <w:rFonts w:hint="eastAsia" w:asciiTheme="minorEastAsia" w:hAnsiTheme="minorEastAsia" w:eastAsiaTheme="minorEastAsia"/>
        </w:rPr>
        <w:t>的规定。未经批准，不得使用“靖边土豆”地理标志产品专用标志。</w:t>
      </w:r>
    </w:p>
    <w:p>
      <w:pPr>
        <w:pStyle w:val="44"/>
        <w:spacing w:before="156" w:after="156"/>
        <w:rPr>
          <w:rFonts w:asciiTheme="minorEastAsia" w:hAnsiTheme="minorEastAsia" w:eastAsiaTheme="minorEastAsia"/>
        </w:rPr>
      </w:pPr>
      <w:r>
        <w:rPr>
          <w:rFonts w:hint="eastAsia" w:asciiTheme="minorEastAsia" w:hAnsiTheme="minorEastAsia" w:eastAsiaTheme="minorEastAsia"/>
        </w:rPr>
        <w:t>靖边土豆地理标志产品的专用标志由标志图案和“靖边土豆”字样组成，见图1。</w:t>
      </w:r>
    </w:p>
    <w:p>
      <w:pPr>
        <w:pStyle w:val="23"/>
        <w:jc w:val="center"/>
        <w:rPr>
          <w:rFonts w:asciiTheme="minorEastAsia" w:hAnsiTheme="minorEastAsia" w:eastAsiaTheme="minorEastAsia"/>
        </w:rPr>
      </w:pPr>
      <w:r>
        <w:rPr>
          <w:rFonts w:asciiTheme="minorEastAsia" w:hAnsiTheme="minorEastAsia" w:eastAsiaTheme="minorEastAsia"/>
        </w:rPr>
        <w:drawing>
          <wp:anchor distT="0" distB="0" distL="114300" distR="114300" simplePos="0" relativeHeight="251664384" behindDoc="0" locked="0" layoutInCell="1" allowOverlap="1">
            <wp:simplePos x="0" y="0"/>
            <wp:positionH relativeFrom="column">
              <wp:posOffset>1977390</wp:posOffset>
            </wp:positionH>
            <wp:positionV relativeFrom="paragraph">
              <wp:posOffset>24130</wp:posOffset>
            </wp:positionV>
            <wp:extent cx="2236470" cy="1833245"/>
            <wp:effectExtent l="0" t="0" r="3810" b="10795"/>
            <wp:wrapNone/>
            <wp:docPr id="1" name="图片 1" descr="地理标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地理标志"/>
                    <pic:cNvPicPr>
                      <a:picLocks noChangeAspect="1"/>
                    </pic:cNvPicPr>
                  </pic:nvPicPr>
                  <pic:blipFill>
                    <a:blip r:embed="rId7"/>
                    <a:stretch>
                      <a:fillRect/>
                    </a:stretch>
                  </pic:blipFill>
                  <pic:spPr>
                    <a:xfrm>
                      <a:off x="0" y="0"/>
                      <a:ext cx="2236470" cy="1833245"/>
                    </a:xfrm>
                    <a:prstGeom prst="rect">
                      <a:avLst/>
                    </a:prstGeom>
                  </pic:spPr>
                </pic:pic>
              </a:graphicData>
            </a:graphic>
          </wp:anchor>
        </w:drawing>
      </w:r>
    </w:p>
    <w:p>
      <w:pPr>
        <w:pStyle w:val="23"/>
        <w:ind w:firstLine="320"/>
        <w:jc w:val="center"/>
        <w:rPr>
          <w:rFonts w:ascii="方正楷体简体" w:hAnsi="方正楷体简体" w:eastAsia="方正楷体简体" w:cs="方正楷体简体"/>
          <w:sz w:val="32"/>
          <w:szCs w:val="28"/>
        </w:rPr>
      </w:pPr>
    </w:p>
    <w:p>
      <w:pPr>
        <w:pStyle w:val="23"/>
        <w:ind w:firstLine="320"/>
        <w:jc w:val="center"/>
        <w:rPr>
          <w:rFonts w:ascii="方正楷体简体" w:hAnsi="方正楷体简体" w:eastAsia="方正楷体简体" w:cs="方正楷体简体"/>
          <w:sz w:val="32"/>
          <w:szCs w:val="28"/>
        </w:rPr>
      </w:pPr>
    </w:p>
    <w:p>
      <w:pPr>
        <w:pStyle w:val="23"/>
        <w:ind w:firstLine="320"/>
        <w:jc w:val="center"/>
        <w:rPr>
          <w:rFonts w:ascii="方正楷体简体" w:hAnsi="方正楷体简体" w:eastAsia="方正楷体简体" w:cs="方正楷体简体"/>
          <w:sz w:val="32"/>
          <w:szCs w:val="28"/>
        </w:rPr>
      </w:pPr>
    </w:p>
    <w:p>
      <w:pPr>
        <w:pStyle w:val="23"/>
        <w:ind w:firstLine="320"/>
        <w:jc w:val="center"/>
        <w:rPr>
          <w:rFonts w:ascii="方正楷体简体" w:hAnsi="方正楷体简体" w:eastAsia="方正楷体简体" w:cs="方正楷体简体"/>
          <w:sz w:val="32"/>
          <w:szCs w:val="28"/>
        </w:rPr>
      </w:pPr>
    </w:p>
    <w:p>
      <w:pPr>
        <w:pStyle w:val="23"/>
        <w:ind w:firstLine="320"/>
        <w:jc w:val="center"/>
        <w:rPr>
          <w:rFonts w:ascii="方正楷体简体" w:hAnsi="方正楷体简体" w:eastAsia="方正楷体简体" w:cs="方正楷体简体"/>
          <w:sz w:val="32"/>
          <w:szCs w:val="28"/>
        </w:rPr>
      </w:pPr>
      <w:r>
        <w:rPr>
          <w:rFonts w:hint="eastAsia" w:ascii="方正楷体简体" w:hAnsi="方正楷体简体" w:eastAsia="方正楷体简体" w:cs="方正楷体简体"/>
          <w:sz w:val="32"/>
          <w:szCs w:val="28"/>
        </w:rPr>
        <w:t>靖边土豆</w:t>
      </w:r>
    </w:p>
    <w:p>
      <w:pPr>
        <w:pStyle w:val="23"/>
        <w:jc w:val="center"/>
        <w:rPr>
          <w:rFonts w:asciiTheme="minorEastAsia" w:hAnsiTheme="minorEastAsia" w:eastAsiaTheme="minorEastAsia"/>
        </w:rPr>
      </w:pPr>
      <w:r>
        <w:rPr>
          <w:rFonts w:hint="eastAsia" w:asciiTheme="minorEastAsia" w:hAnsiTheme="minorEastAsia" w:eastAsiaTheme="minorEastAsia"/>
        </w:rPr>
        <w:t>图1 地理标志产品</w:t>
      </w:r>
      <w:r>
        <w:rPr>
          <w:rFonts w:hint="eastAsia" w:asciiTheme="minorEastAsia" w:hAnsiTheme="minorEastAsia" w:eastAsiaTheme="minorEastAsia"/>
          <w:lang w:val="en-US" w:eastAsia="zh-CN"/>
        </w:rPr>
        <w:t xml:space="preserve"> </w:t>
      </w:r>
      <w:bookmarkStart w:id="11" w:name="_GoBack"/>
      <w:bookmarkEnd w:id="11"/>
      <w:r>
        <w:rPr>
          <w:rFonts w:hint="eastAsia" w:asciiTheme="minorEastAsia" w:hAnsiTheme="minorEastAsia" w:eastAsiaTheme="minorEastAsia"/>
        </w:rPr>
        <w:t>靖边土豆专用标志图案</w:t>
      </w:r>
    </w:p>
    <w:p>
      <w:pPr>
        <w:pStyle w:val="23"/>
      </w:pPr>
    </w:p>
    <w:p>
      <w:pPr>
        <w:widowControl/>
        <w:jc w:val="left"/>
        <w:rPr>
          <w:rFonts w:ascii="宋体"/>
          <w:kern w:val="0"/>
          <w:szCs w:val="20"/>
        </w:rPr>
      </w:pPr>
      <w:r>
        <w:br w:type="page"/>
      </w:r>
    </w:p>
    <w:p>
      <w:pPr>
        <w:pStyle w:val="23"/>
        <w:jc w:val="center"/>
        <w:rPr>
          <w:rFonts w:ascii="黑体" w:hAnsi="黑体" w:eastAsia="黑体"/>
        </w:rPr>
      </w:pPr>
      <w:r>
        <w:rPr>
          <w:rFonts w:hint="eastAsia" w:ascii="黑体" w:hAnsi="黑体" w:eastAsia="黑体"/>
        </w:rPr>
        <w:t>附录A</w:t>
      </w:r>
    </w:p>
    <w:p>
      <w:pPr>
        <w:pStyle w:val="23"/>
        <w:jc w:val="center"/>
        <w:rPr>
          <w:rFonts w:ascii="黑体" w:hAnsi="黑体" w:eastAsia="黑体"/>
        </w:rPr>
      </w:pPr>
      <w:r>
        <w:rPr>
          <w:rFonts w:hint="eastAsia" w:ascii="黑体" w:hAnsi="黑体" w:eastAsia="黑体"/>
        </w:rPr>
        <w:t>（规范性）</w:t>
      </w:r>
    </w:p>
    <w:p>
      <w:pPr>
        <w:pStyle w:val="23"/>
        <w:jc w:val="center"/>
        <w:rPr>
          <w:rFonts w:ascii="黑体" w:hAnsi="黑体" w:eastAsia="黑体"/>
        </w:rPr>
      </w:pPr>
      <w:r>
        <w:rPr>
          <w:rFonts w:hint="eastAsia" w:ascii="黑体" w:hAnsi="黑体" w:eastAsia="黑体"/>
        </w:rPr>
        <w:t>地理标志产品靖边土豆产地范围界定与保护范围</w:t>
      </w:r>
    </w:p>
    <w:p>
      <w:pPr>
        <w:pStyle w:val="47"/>
        <w:numPr>
          <w:ilvl w:val="0"/>
          <w:numId w:val="0"/>
        </w:numPr>
        <w:spacing w:before="312" w:after="312"/>
      </w:pPr>
      <w:r>
        <w:rPr>
          <w:rFonts w:hint="eastAsia"/>
        </w:rPr>
        <w:t>A</w:t>
      </w:r>
      <w:r>
        <w:t xml:space="preserve">.1 </w:t>
      </w:r>
      <w:r>
        <w:rPr>
          <w:rFonts w:hint="eastAsia"/>
        </w:rPr>
        <w:t>产地范围</w:t>
      </w:r>
    </w:p>
    <w:p>
      <w:pPr>
        <w:pStyle w:val="23"/>
      </w:pPr>
      <w:r>
        <w:rPr>
          <w:rFonts w:hint="eastAsia"/>
        </w:rPr>
        <w:t>靖边土豆产地范围为陕西省靖边县张家畔镇、红墩界镇、宁条梁镇、东坑镇、王渠则镇、中山涧镇、杨米涧镇、周河镇、杨桥畔镇、天赐湾镇、青阳岔镇、黄蒿界镇、海则滩乡、镇靖乡、席麻湾乡、龙州乡、小河乡共17个乡镇现辖行政区域。</w:t>
      </w:r>
    </w:p>
    <w:p>
      <w:pPr>
        <w:pStyle w:val="47"/>
        <w:numPr>
          <w:ilvl w:val="0"/>
          <w:numId w:val="0"/>
        </w:numPr>
        <w:spacing w:before="312" w:after="312"/>
      </w:pPr>
      <w:r>
        <w:rPr>
          <w:rFonts w:hint="eastAsia"/>
        </w:rPr>
        <w:t>A</w:t>
      </w:r>
      <w:r>
        <w:t xml:space="preserve">.2 </w:t>
      </w:r>
      <w:r>
        <w:rPr>
          <w:rFonts w:hint="eastAsia"/>
        </w:rPr>
        <w:t>靖边土豆地理标志产品保护范围</w:t>
      </w:r>
    </w:p>
    <w:p>
      <w:pPr>
        <w:pStyle w:val="23"/>
      </w:pPr>
      <w:r>
        <w:rPr>
          <w:rFonts w:hint="eastAsia"/>
        </w:rPr>
        <w:t>靖边土豆地理标志产品保护范围见图 A.1</w:t>
      </w:r>
      <w:r>
        <w:t xml:space="preserve"> </w:t>
      </w:r>
      <w:r>
        <w:rPr>
          <w:rFonts w:hint="eastAsia"/>
        </w:rPr>
        <w:t>中绿色区域。</w:t>
      </w:r>
    </w:p>
    <w:p>
      <w:pPr>
        <w:pStyle w:val="23"/>
      </w:pPr>
    </w:p>
    <w:p>
      <w:pPr>
        <w:pStyle w:val="23"/>
        <w:jc w:val="center"/>
      </w:pPr>
      <w:r>
        <w:drawing>
          <wp:inline distT="0" distB="0" distL="114300" distR="114300">
            <wp:extent cx="3157220" cy="3213735"/>
            <wp:effectExtent l="0" t="0" r="12700" b="1905"/>
            <wp:docPr id="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1"/>
                    <pic:cNvPicPr>
                      <a:picLocks noChangeAspect="1"/>
                    </pic:cNvPicPr>
                  </pic:nvPicPr>
                  <pic:blipFill>
                    <a:blip r:embed="rId8"/>
                    <a:srcRect t="14687"/>
                    <a:stretch>
                      <a:fillRect/>
                    </a:stretch>
                  </pic:blipFill>
                  <pic:spPr>
                    <a:xfrm>
                      <a:off x="0" y="0"/>
                      <a:ext cx="3157220" cy="3213735"/>
                    </a:xfrm>
                    <a:prstGeom prst="rect">
                      <a:avLst/>
                    </a:prstGeom>
                  </pic:spPr>
                </pic:pic>
              </a:graphicData>
            </a:graphic>
          </wp:inline>
        </w:drawing>
      </w:r>
    </w:p>
    <w:p>
      <w:pPr>
        <w:pStyle w:val="23"/>
        <w:jc w:val="center"/>
      </w:pPr>
      <w:r>
        <w:rPr>
          <w:rFonts w:hint="eastAsia"/>
        </w:rPr>
        <w:t>图A.1 靖边土豆地理标志保护范围图</w:t>
      </w:r>
    </w:p>
    <w:p>
      <w:pPr>
        <w:pStyle w:val="23"/>
        <w:jc w:val="center"/>
      </w:pPr>
    </w:p>
    <w:p>
      <w:pPr>
        <w:pStyle w:val="23"/>
        <w:jc w:val="center"/>
      </w:pPr>
    </w:p>
    <w:p>
      <w:pPr>
        <w:pStyle w:val="23"/>
        <w:jc w:val="center"/>
      </w:pPr>
    </w:p>
    <w:p>
      <w:pPr>
        <w:pStyle w:val="23"/>
        <w:jc w:val="center"/>
      </w:pPr>
      <w:r>
        <w:pict>
          <v:line id="_x0000_s1031" o:spid="_x0000_s1031" o:spt="20" style="position:absolute;left:0pt;flip:y;margin-left:96.5pt;margin-top:23.35pt;height:1pt;width:298pt;z-index:251665408;mso-width-relative:page;mso-height-relative:page;" filled="t" coordsize="21600,21600">
            <v:path arrowok="t"/>
            <v:fill on="t" focussize="0,0"/>
            <v:stroke/>
            <v:imagedata o:title=""/>
            <o:lock v:ext="edit"/>
          </v:line>
        </w:pict>
      </w:r>
    </w:p>
    <w:sectPr>
      <w:pgSz w:w="11906" w:h="16838"/>
      <w:pgMar w:top="567" w:right="1134" w:bottom="1134" w:left="1418" w:header="1418" w:footer="1134" w:gutter="0"/>
      <w:pgNumType w:start="1"/>
      <w:cols w:space="425" w:num="1"/>
      <w:formProt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auto"/>
    <w:pitch w:val="default"/>
    <w:sig w:usb0="E00006FF" w:usb1="420024FF" w:usb2="02000000" w:usb3="00000000" w:csb0="2000019F" w:csb1="00000000"/>
  </w:font>
  <w:font w:name="Noto Sans">
    <w:altName w:val="Arial"/>
    <w:panose1 w:val="00000000000000000000"/>
    <w:charset w:val="00"/>
    <w:family w:val="swiss"/>
    <w:pitch w:val="default"/>
    <w:sig w:usb0="00000000" w:usb1="00000000" w:usb2="00000021" w:usb3="00000000" w:csb0="0000019F" w:csb1="00000000"/>
  </w:font>
  <w:font w:name="方正楷体简体">
    <w:altName w:val="宋体"/>
    <w:panose1 w:val="00000000000000000000"/>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framePr w:wrap="around" w:vAnchor="text" w:hAnchor="margin" w:xAlign="outside" w:y="1"/>
      <w:rPr>
        <w:rStyle w:val="36"/>
      </w:rPr>
    </w:pPr>
    <w:r>
      <w:rPr>
        <w:rStyle w:val="36"/>
      </w:rPr>
      <w:fldChar w:fldCharType="begin"/>
    </w:r>
    <w:r>
      <w:rPr>
        <w:rStyle w:val="36"/>
      </w:rPr>
      <w:instrText xml:space="preserve">PAGE  </w:instrText>
    </w:r>
    <w:r>
      <w:rPr>
        <w:rStyle w:val="36"/>
      </w:rPr>
      <w:fldChar w:fldCharType="end"/>
    </w:r>
  </w:p>
  <w:p>
    <w:pPr>
      <w:pStyle w:val="1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framePr w:wrap="around" w:vAnchor="text" w:hAnchor="margin" w:xAlign="outside" w:y="1"/>
      <w:rPr>
        <w:rStyle w:val="36"/>
      </w:rPr>
    </w:pPr>
    <w:r>
      <w:rPr>
        <w:rStyle w:val="36"/>
      </w:rPr>
      <w:fldChar w:fldCharType="begin"/>
    </w:r>
    <w:r>
      <w:rPr>
        <w:rStyle w:val="36"/>
      </w:rPr>
      <w:instrText xml:space="preserve">PAGE  </w:instrText>
    </w:r>
    <w:r>
      <w:rPr>
        <w:rStyle w:val="36"/>
      </w:rPr>
      <w:fldChar w:fldCharType="separate"/>
    </w:r>
    <w:r>
      <w:rPr>
        <w:rStyle w:val="36"/>
      </w:rPr>
      <w:t>1</w:t>
    </w:r>
    <w:r>
      <w:rPr>
        <w:rStyle w:val="36"/>
      </w:rPr>
      <w:fldChar w:fldCharType="end"/>
    </w:r>
  </w:p>
  <w:p>
    <w:pPr>
      <w:pStyle w:val="45"/>
      <w:ind w:right="360"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6"/>
    </w:pPr>
    <w:r>
      <w:t>DB</w:t>
    </w:r>
    <w:r>
      <w:rPr>
        <w:rFonts w:hint="eastAsia"/>
      </w:rPr>
      <w:t>61</w:t>
    </w:r>
    <w:r>
      <w:t>/ XXXXX—XXXX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53A8874"/>
    <w:multiLevelType w:val="singleLevel"/>
    <w:tmpl w:val="C53A8874"/>
    <w:lvl w:ilvl="0" w:tentative="0">
      <w:start w:val="1"/>
      <w:numFmt w:val="lowerLetter"/>
      <w:suff w:val="nothing"/>
      <w:lvlText w:val="%1）"/>
      <w:lvlJc w:val="left"/>
    </w:lvl>
  </w:abstractNum>
  <w:abstractNum w:abstractNumId="1">
    <w:nsid w:val="1DBF583A"/>
    <w:multiLevelType w:val="multilevel"/>
    <w:tmpl w:val="1DBF583A"/>
    <w:lvl w:ilvl="0" w:tentative="0">
      <w:start w:val="1"/>
      <w:numFmt w:val="decimal"/>
      <w:pStyle w:val="69"/>
      <w:suff w:val="nothing"/>
      <w:lvlText w:val="注%1："/>
      <w:lvlJc w:val="left"/>
      <w:pPr>
        <w:ind w:left="811" w:hanging="448"/>
      </w:pPr>
      <w:rPr>
        <w:rFonts w:hint="eastAsia" w:ascii="黑体" w:eastAsia="黑体" w:cs="Times New Roman"/>
        <w:b w:val="0"/>
        <w:i w:val="0"/>
        <w:sz w:val="18"/>
        <w:szCs w:val="18"/>
        <w:vertAlign w:val="baseline"/>
      </w:rPr>
    </w:lvl>
    <w:lvl w:ilvl="1" w:tentative="0">
      <w:start w:val="1"/>
      <w:numFmt w:val="lowerLetter"/>
      <w:lvlText w:val="%2)"/>
      <w:lvlJc w:val="left"/>
      <w:pPr>
        <w:tabs>
          <w:tab w:val="left" w:pos="180"/>
        </w:tabs>
        <w:ind w:left="1172" w:hanging="629"/>
      </w:pPr>
      <w:rPr>
        <w:rFonts w:hint="eastAsia" w:cs="Times New Roman"/>
        <w:vertAlign w:val="baseline"/>
      </w:rPr>
    </w:lvl>
    <w:lvl w:ilvl="2" w:tentative="0">
      <w:start w:val="1"/>
      <w:numFmt w:val="lowerRoman"/>
      <w:lvlText w:val="%3."/>
      <w:lvlJc w:val="right"/>
      <w:pPr>
        <w:tabs>
          <w:tab w:val="left" w:pos="180"/>
        </w:tabs>
        <w:ind w:left="1172" w:hanging="629"/>
      </w:pPr>
      <w:rPr>
        <w:rFonts w:hint="eastAsia" w:cs="Times New Roman"/>
        <w:vertAlign w:val="baseline"/>
      </w:rPr>
    </w:lvl>
    <w:lvl w:ilvl="3" w:tentative="0">
      <w:start w:val="1"/>
      <w:numFmt w:val="decimal"/>
      <w:lvlText w:val="%4."/>
      <w:lvlJc w:val="left"/>
      <w:pPr>
        <w:tabs>
          <w:tab w:val="left" w:pos="180"/>
        </w:tabs>
        <w:ind w:left="1172" w:hanging="629"/>
      </w:pPr>
      <w:rPr>
        <w:rFonts w:hint="eastAsia" w:cs="Times New Roman"/>
        <w:vertAlign w:val="baseline"/>
      </w:rPr>
    </w:lvl>
    <w:lvl w:ilvl="4" w:tentative="0">
      <w:start w:val="1"/>
      <w:numFmt w:val="lowerLetter"/>
      <w:lvlText w:val="%5)"/>
      <w:lvlJc w:val="left"/>
      <w:pPr>
        <w:tabs>
          <w:tab w:val="left" w:pos="180"/>
        </w:tabs>
        <w:ind w:left="1172" w:hanging="629"/>
      </w:pPr>
      <w:rPr>
        <w:rFonts w:hint="eastAsia" w:cs="Times New Roman"/>
        <w:vertAlign w:val="baseline"/>
      </w:rPr>
    </w:lvl>
    <w:lvl w:ilvl="5" w:tentative="0">
      <w:start w:val="1"/>
      <w:numFmt w:val="lowerRoman"/>
      <w:lvlText w:val="%6."/>
      <w:lvlJc w:val="right"/>
      <w:pPr>
        <w:tabs>
          <w:tab w:val="left" w:pos="180"/>
        </w:tabs>
        <w:ind w:left="1172" w:hanging="629"/>
      </w:pPr>
      <w:rPr>
        <w:rFonts w:hint="eastAsia" w:cs="Times New Roman"/>
        <w:vertAlign w:val="baseline"/>
      </w:rPr>
    </w:lvl>
    <w:lvl w:ilvl="6" w:tentative="0">
      <w:start w:val="1"/>
      <w:numFmt w:val="decimal"/>
      <w:lvlText w:val="%7."/>
      <w:lvlJc w:val="left"/>
      <w:pPr>
        <w:tabs>
          <w:tab w:val="left" w:pos="180"/>
        </w:tabs>
        <w:ind w:left="1172" w:hanging="629"/>
      </w:pPr>
      <w:rPr>
        <w:rFonts w:hint="eastAsia" w:cs="Times New Roman"/>
        <w:vertAlign w:val="baseline"/>
      </w:rPr>
    </w:lvl>
    <w:lvl w:ilvl="7" w:tentative="0">
      <w:start w:val="1"/>
      <w:numFmt w:val="lowerLetter"/>
      <w:lvlText w:val="%8)"/>
      <w:lvlJc w:val="left"/>
      <w:pPr>
        <w:tabs>
          <w:tab w:val="left" w:pos="180"/>
        </w:tabs>
        <w:ind w:left="1172" w:hanging="629"/>
      </w:pPr>
      <w:rPr>
        <w:rFonts w:hint="eastAsia" w:cs="Times New Roman"/>
        <w:vertAlign w:val="baseline"/>
      </w:rPr>
    </w:lvl>
    <w:lvl w:ilvl="8" w:tentative="0">
      <w:start w:val="1"/>
      <w:numFmt w:val="lowerRoman"/>
      <w:lvlText w:val="%9."/>
      <w:lvlJc w:val="right"/>
      <w:pPr>
        <w:tabs>
          <w:tab w:val="left" w:pos="180"/>
        </w:tabs>
        <w:ind w:left="1172" w:hanging="629"/>
      </w:pPr>
      <w:rPr>
        <w:rFonts w:hint="eastAsia" w:cs="Times New Roman"/>
        <w:vertAlign w:val="baseline"/>
      </w:rPr>
    </w:lvl>
  </w:abstractNum>
  <w:abstractNum w:abstractNumId="2">
    <w:nsid w:val="1FC91163"/>
    <w:multiLevelType w:val="multilevel"/>
    <w:tmpl w:val="1FC91163"/>
    <w:lvl w:ilvl="0" w:tentative="0">
      <w:start w:val="1"/>
      <w:numFmt w:val="decimal"/>
      <w:pStyle w:val="47"/>
      <w:suff w:val="nothing"/>
      <w:lvlText w:val="%1　"/>
      <w:lvlJc w:val="left"/>
      <w:rPr>
        <w:rFonts w:hint="eastAsia" w:ascii="黑体" w:hAnsi="Times New Roman" w:eastAsia="黑体" w:cs="Times New Roman"/>
        <w:b w:val="0"/>
        <w:i w:val="0"/>
        <w:sz w:val="21"/>
        <w:szCs w:val="21"/>
      </w:rPr>
    </w:lvl>
    <w:lvl w:ilvl="1" w:tentative="0">
      <w:start w:val="1"/>
      <w:numFmt w:val="decimal"/>
      <w:pStyle w:val="44"/>
      <w:suff w:val="nothing"/>
      <w:lvlText w:val="%1.%2　"/>
      <w:lvlJc w:val="left"/>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48"/>
      <w:suff w:val="nothing"/>
      <w:lvlText w:val="%1.%2.%3　"/>
      <w:lvlJc w:val="left"/>
      <w:rPr>
        <w:rFonts w:hint="eastAsia" w:ascii="黑体" w:hAnsi="Times New Roman" w:eastAsia="黑体" w:cs="Times New Roman"/>
        <w:b w:val="0"/>
        <w:i w:val="0"/>
        <w:sz w:val="21"/>
      </w:rPr>
    </w:lvl>
    <w:lvl w:ilvl="3" w:tentative="0">
      <w:start w:val="1"/>
      <w:numFmt w:val="decimal"/>
      <w:pStyle w:val="53"/>
      <w:suff w:val="nothing"/>
      <w:lvlText w:val="%1.%2.%3.%4　"/>
      <w:lvlJc w:val="left"/>
      <w:rPr>
        <w:rFonts w:hint="eastAsia" w:ascii="黑体" w:hAnsi="Times New Roman" w:eastAsia="黑体" w:cs="Times New Roman"/>
        <w:b w:val="0"/>
        <w:i w:val="0"/>
        <w:sz w:val="21"/>
      </w:rPr>
    </w:lvl>
    <w:lvl w:ilvl="4" w:tentative="0">
      <w:start w:val="1"/>
      <w:numFmt w:val="decimal"/>
      <w:pStyle w:val="57"/>
      <w:suff w:val="nothing"/>
      <w:lvlText w:val="%1.%2.%3.%4.%5　"/>
      <w:lvlJc w:val="left"/>
      <w:rPr>
        <w:rFonts w:hint="eastAsia" w:ascii="黑体" w:hAnsi="Times New Roman" w:eastAsia="黑体" w:cs="Times New Roman"/>
        <w:b w:val="0"/>
        <w:i w:val="0"/>
        <w:sz w:val="21"/>
      </w:rPr>
    </w:lvl>
    <w:lvl w:ilvl="5" w:tentative="0">
      <w:start w:val="1"/>
      <w:numFmt w:val="decimal"/>
      <w:pStyle w:val="58"/>
      <w:suff w:val="nothing"/>
      <w:lvlText w:val="%1.%2.%3.%4.%5.%6　"/>
      <w:lvlJc w:val="left"/>
      <w:rPr>
        <w:rFonts w:hint="eastAsia" w:ascii="黑体" w:hAnsi="Times New Roman" w:eastAsia="黑体" w:cs="Times New Roman"/>
        <w:b w:val="0"/>
        <w:i w:val="0"/>
        <w:sz w:val="21"/>
      </w:rPr>
    </w:lvl>
    <w:lvl w:ilvl="6" w:tentative="0">
      <w:start w:val="1"/>
      <w:numFmt w:val="decimal"/>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4351"/>
        </w:tabs>
        <w:ind w:left="3969" w:hanging="1418"/>
      </w:pPr>
      <w:rPr>
        <w:rFonts w:hint="eastAsia" w:cs="Times New Roman"/>
      </w:rPr>
    </w:lvl>
    <w:lvl w:ilvl="8" w:tentative="0">
      <w:start w:val="1"/>
      <w:numFmt w:val="decimal"/>
      <w:lvlText w:val="%1.%2.%3.%4.%5.%6.%7.%8.%9"/>
      <w:lvlJc w:val="left"/>
      <w:pPr>
        <w:tabs>
          <w:tab w:val="left" w:pos="4777"/>
        </w:tabs>
        <w:ind w:left="4677" w:hanging="1700"/>
      </w:pPr>
      <w:rPr>
        <w:rFonts w:hint="eastAsia" w:cs="Times New Roman"/>
      </w:rPr>
    </w:lvl>
  </w:abstractNum>
  <w:abstractNum w:abstractNumId="3">
    <w:nsid w:val="2A8F7113"/>
    <w:multiLevelType w:val="multilevel"/>
    <w:tmpl w:val="2A8F7113"/>
    <w:lvl w:ilvl="0" w:tentative="0">
      <w:start w:val="1"/>
      <w:numFmt w:val="upperLetter"/>
      <w:pStyle w:val="102"/>
      <w:suff w:val="space"/>
      <w:lvlText w:val="%1"/>
      <w:lvlJc w:val="left"/>
      <w:pPr>
        <w:ind w:left="623" w:hanging="425"/>
      </w:pPr>
      <w:rPr>
        <w:rFonts w:hint="eastAsia" w:cs="Times New Roman"/>
      </w:rPr>
    </w:lvl>
    <w:lvl w:ilvl="1" w:tentative="0">
      <w:start w:val="1"/>
      <w:numFmt w:val="decimal"/>
      <w:pStyle w:val="103"/>
      <w:suff w:val="nothing"/>
      <w:lvlText w:val="图%1.%2　"/>
      <w:lvlJc w:val="left"/>
      <w:pPr>
        <w:ind w:left="1190" w:hanging="567"/>
      </w:pPr>
      <w:rPr>
        <w:rFonts w:hint="eastAsia" w:cs="Times New Roman"/>
      </w:rPr>
    </w:lvl>
    <w:lvl w:ilvl="2" w:tentative="0">
      <w:start w:val="1"/>
      <w:numFmt w:val="decimal"/>
      <w:lvlText w:val="%1.%2.%3"/>
      <w:lvlJc w:val="left"/>
      <w:pPr>
        <w:tabs>
          <w:tab w:val="left" w:pos="1616"/>
        </w:tabs>
        <w:ind w:left="1616" w:hanging="567"/>
      </w:pPr>
      <w:rPr>
        <w:rFonts w:hint="eastAsia" w:cs="Times New Roman"/>
      </w:rPr>
    </w:lvl>
    <w:lvl w:ilvl="3" w:tentative="0">
      <w:start w:val="1"/>
      <w:numFmt w:val="decimal"/>
      <w:lvlText w:val="%1.%2.%3.%4"/>
      <w:lvlJc w:val="left"/>
      <w:pPr>
        <w:tabs>
          <w:tab w:val="left" w:pos="2914"/>
        </w:tabs>
        <w:ind w:left="2182" w:hanging="708"/>
      </w:pPr>
      <w:rPr>
        <w:rFonts w:hint="eastAsia" w:cs="Times New Roman"/>
      </w:rPr>
    </w:lvl>
    <w:lvl w:ilvl="4" w:tentative="0">
      <w:start w:val="1"/>
      <w:numFmt w:val="decimal"/>
      <w:lvlText w:val="%1.%2.%3.%4.%5"/>
      <w:lvlJc w:val="left"/>
      <w:pPr>
        <w:tabs>
          <w:tab w:val="left" w:pos="3699"/>
        </w:tabs>
        <w:ind w:left="2749" w:hanging="850"/>
      </w:pPr>
      <w:rPr>
        <w:rFonts w:hint="eastAsia" w:cs="Times New Roman"/>
      </w:rPr>
    </w:lvl>
    <w:lvl w:ilvl="5" w:tentative="0">
      <w:start w:val="1"/>
      <w:numFmt w:val="decimal"/>
      <w:lvlText w:val="%1.%2.%3.%4.%5.%6"/>
      <w:lvlJc w:val="left"/>
      <w:pPr>
        <w:tabs>
          <w:tab w:val="left" w:pos="4484"/>
        </w:tabs>
        <w:ind w:left="3458" w:hanging="1134"/>
      </w:pPr>
      <w:rPr>
        <w:rFonts w:hint="eastAsia" w:cs="Times New Roman"/>
      </w:rPr>
    </w:lvl>
    <w:lvl w:ilvl="6" w:tentative="0">
      <w:start w:val="1"/>
      <w:numFmt w:val="decimal"/>
      <w:lvlText w:val="%1.%2.%3.%4.%5.%6.%7"/>
      <w:lvlJc w:val="left"/>
      <w:pPr>
        <w:tabs>
          <w:tab w:val="left" w:pos="5269"/>
        </w:tabs>
        <w:ind w:left="4025" w:hanging="1276"/>
      </w:pPr>
      <w:rPr>
        <w:rFonts w:hint="eastAsia" w:cs="Times New Roman"/>
      </w:rPr>
    </w:lvl>
    <w:lvl w:ilvl="7" w:tentative="0">
      <w:start w:val="1"/>
      <w:numFmt w:val="decimal"/>
      <w:lvlText w:val="%1.%2.%3.%4.%5.%6.%7.%8"/>
      <w:lvlJc w:val="left"/>
      <w:pPr>
        <w:tabs>
          <w:tab w:val="left" w:pos="6054"/>
        </w:tabs>
        <w:ind w:left="4592" w:hanging="1418"/>
      </w:pPr>
      <w:rPr>
        <w:rFonts w:hint="eastAsia" w:cs="Times New Roman"/>
      </w:rPr>
    </w:lvl>
    <w:lvl w:ilvl="8" w:tentative="0">
      <w:start w:val="1"/>
      <w:numFmt w:val="decimal"/>
      <w:lvlText w:val="%1.%2.%3.%4.%5.%6.%7.%8.%9"/>
      <w:lvlJc w:val="left"/>
      <w:pPr>
        <w:tabs>
          <w:tab w:val="left" w:pos="6840"/>
        </w:tabs>
        <w:ind w:left="5300" w:hanging="1700"/>
      </w:pPr>
      <w:rPr>
        <w:rFonts w:hint="eastAsia" w:cs="Times New Roman"/>
      </w:rPr>
    </w:lvl>
  </w:abstractNum>
  <w:abstractNum w:abstractNumId="4">
    <w:nsid w:val="2C5917C3"/>
    <w:multiLevelType w:val="multilevel"/>
    <w:tmpl w:val="2C5917C3"/>
    <w:lvl w:ilvl="0" w:tentative="0">
      <w:start w:val="1"/>
      <w:numFmt w:val="none"/>
      <w:pStyle w:val="50"/>
      <w:suff w:val="nothing"/>
      <w:lvlText w:val="%1——"/>
      <w:lvlJc w:val="left"/>
      <w:pPr>
        <w:ind w:left="833" w:hanging="408"/>
      </w:pPr>
      <w:rPr>
        <w:rFonts w:hint="eastAsia" w:cs="Times New Roman"/>
      </w:rPr>
    </w:lvl>
    <w:lvl w:ilvl="1" w:tentative="0">
      <w:start w:val="1"/>
      <w:numFmt w:val="bullet"/>
      <w:pStyle w:val="51"/>
      <w:lvlText w:val=""/>
      <w:lvlJc w:val="left"/>
      <w:pPr>
        <w:tabs>
          <w:tab w:val="left" w:pos="760"/>
        </w:tabs>
        <w:ind w:left="1264" w:hanging="413"/>
      </w:pPr>
      <w:rPr>
        <w:rFonts w:hint="default" w:ascii="Symbol" w:hAnsi="Symbol"/>
        <w:color w:val="auto"/>
      </w:rPr>
    </w:lvl>
    <w:lvl w:ilvl="2" w:tentative="0">
      <w:start w:val="1"/>
      <w:numFmt w:val="bullet"/>
      <w:pStyle w:val="64"/>
      <w:lvlText w:val=""/>
      <w:lvlJc w:val="left"/>
      <w:pPr>
        <w:tabs>
          <w:tab w:val="left" w:pos="1678"/>
        </w:tabs>
        <w:ind w:left="1678" w:hanging="414"/>
      </w:pPr>
      <w:rPr>
        <w:rFonts w:hint="default" w:ascii="Symbol" w:hAnsi="Symbol"/>
        <w:color w:val="auto"/>
      </w:rPr>
    </w:lvl>
    <w:lvl w:ilvl="3" w:tentative="0">
      <w:start w:val="1"/>
      <w:numFmt w:val="decimal"/>
      <w:lvlText w:val="%4."/>
      <w:lvlJc w:val="left"/>
      <w:pPr>
        <w:tabs>
          <w:tab w:val="left" w:pos="2071"/>
        </w:tabs>
        <w:ind w:left="1884" w:hanging="528"/>
      </w:pPr>
      <w:rPr>
        <w:rFonts w:hint="eastAsia" w:cs="Times New Roman"/>
      </w:rPr>
    </w:lvl>
    <w:lvl w:ilvl="4" w:tentative="0">
      <w:start w:val="1"/>
      <w:numFmt w:val="lowerLetter"/>
      <w:lvlText w:val="%5)"/>
      <w:lvlJc w:val="left"/>
      <w:pPr>
        <w:tabs>
          <w:tab w:val="left" w:pos="2383"/>
        </w:tabs>
        <w:ind w:left="2196" w:hanging="528"/>
      </w:pPr>
      <w:rPr>
        <w:rFonts w:hint="eastAsia" w:cs="Times New Roman"/>
      </w:rPr>
    </w:lvl>
    <w:lvl w:ilvl="5" w:tentative="0">
      <w:start w:val="1"/>
      <w:numFmt w:val="lowerRoman"/>
      <w:lvlText w:val="%6."/>
      <w:lvlJc w:val="right"/>
      <w:pPr>
        <w:tabs>
          <w:tab w:val="left" w:pos="2695"/>
        </w:tabs>
        <w:ind w:left="2508" w:hanging="528"/>
      </w:pPr>
      <w:rPr>
        <w:rFonts w:hint="eastAsia" w:cs="Times New Roman"/>
      </w:rPr>
    </w:lvl>
    <w:lvl w:ilvl="6" w:tentative="0">
      <w:start w:val="1"/>
      <w:numFmt w:val="decimal"/>
      <w:lvlText w:val="%7."/>
      <w:lvlJc w:val="left"/>
      <w:pPr>
        <w:tabs>
          <w:tab w:val="left" w:pos="3007"/>
        </w:tabs>
        <w:ind w:left="2820" w:hanging="528"/>
      </w:pPr>
      <w:rPr>
        <w:rFonts w:hint="eastAsia" w:cs="Times New Roman"/>
      </w:rPr>
    </w:lvl>
    <w:lvl w:ilvl="7" w:tentative="0">
      <w:start w:val="1"/>
      <w:numFmt w:val="lowerLetter"/>
      <w:lvlText w:val="%8)"/>
      <w:lvlJc w:val="left"/>
      <w:pPr>
        <w:tabs>
          <w:tab w:val="left" w:pos="3319"/>
        </w:tabs>
        <w:ind w:left="3132" w:hanging="528"/>
      </w:pPr>
      <w:rPr>
        <w:rFonts w:hint="eastAsia" w:cs="Times New Roman"/>
      </w:rPr>
    </w:lvl>
    <w:lvl w:ilvl="8" w:tentative="0">
      <w:start w:val="1"/>
      <w:numFmt w:val="lowerRoman"/>
      <w:lvlText w:val="%9."/>
      <w:lvlJc w:val="right"/>
      <w:pPr>
        <w:tabs>
          <w:tab w:val="left" w:pos="3631"/>
        </w:tabs>
        <w:ind w:left="3444" w:hanging="528"/>
      </w:pPr>
      <w:rPr>
        <w:rFonts w:hint="eastAsia" w:cs="Times New Roman"/>
      </w:rPr>
    </w:lvl>
  </w:abstractNum>
  <w:abstractNum w:abstractNumId="5">
    <w:nsid w:val="3D733618"/>
    <w:multiLevelType w:val="multilevel"/>
    <w:tmpl w:val="3D733618"/>
    <w:lvl w:ilvl="0" w:tentative="0">
      <w:start w:val="1"/>
      <w:numFmt w:val="decimal"/>
      <w:pStyle w:val="24"/>
      <w:lvlText w:val="%1)"/>
      <w:lvlJc w:val="left"/>
      <w:pPr>
        <w:tabs>
          <w:tab w:val="left" w:pos="0"/>
        </w:tabs>
        <w:ind w:left="720" w:hanging="357"/>
      </w:pPr>
      <w:rPr>
        <w:rFonts w:hint="eastAsia" w:cs="Times New Roman"/>
      </w:rPr>
    </w:lvl>
    <w:lvl w:ilvl="1" w:tentative="0">
      <w:start w:val="1"/>
      <w:numFmt w:val="lowerLetter"/>
      <w:lvlText w:val="%2)"/>
      <w:lvlJc w:val="left"/>
      <w:pPr>
        <w:tabs>
          <w:tab w:val="left" w:pos="504"/>
        </w:tabs>
        <w:ind w:left="544" w:hanging="544"/>
      </w:pPr>
      <w:rPr>
        <w:rFonts w:hint="eastAsia" w:cs="Times New Roman"/>
      </w:rPr>
    </w:lvl>
    <w:lvl w:ilvl="2" w:tentative="0">
      <w:start w:val="1"/>
      <w:numFmt w:val="lowerRoman"/>
      <w:lvlText w:val="%3."/>
      <w:lvlJc w:val="right"/>
      <w:pPr>
        <w:tabs>
          <w:tab w:val="left" w:pos="532"/>
        </w:tabs>
        <w:ind w:left="544" w:hanging="544"/>
      </w:pPr>
      <w:rPr>
        <w:rFonts w:hint="eastAsia" w:cs="Times New Roman"/>
      </w:rPr>
    </w:lvl>
    <w:lvl w:ilvl="3" w:tentative="0">
      <w:start w:val="1"/>
      <w:numFmt w:val="decimal"/>
      <w:lvlText w:val="%4."/>
      <w:lvlJc w:val="left"/>
      <w:pPr>
        <w:tabs>
          <w:tab w:val="left" w:pos="560"/>
        </w:tabs>
        <w:ind w:left="544" w:hanging="544"/>
      </w:pPr>
      <w:rPr>
        <w:rFonts w:hint="eastAsia" w:cs="Times New Roman"/>
      </w:rPr>
    </w:lvl>
    <w:lvl w:ilvl="4" w:tentative="0">
      <w:start w:val="1"/>
      <w:numFmt w:val="lowerLetter"/>
      <w:lvlText w:val="%5)"/>
      <w:lvlJc w:val="left"/>
      <w:pPr>
        <w:tabs>
          <w:tab w:val="left" w:pos="588"/>
        </w:tabs>
        <w:ind w:left="544" w:hanging="544"/>
      </w:pPr>
      <w:rPr>
        <w:rFonts w:hint="eastAsia" w:cs="Times New Roman"/>
      </w:rPr>
    </w:lvl>
    <w:lvl w:ilvl="5" w:tentative="0">
      <w:start w:val="1"/>
      <w:numFmt w:val="lowerRoman"/>
      <w:lvlText w:val="%6."/>
      <w:lvlJc w:val="right"/>
      <w:pPr>
        <w:tabs>
          <w:tab w:val="left" w:pos="616"/>
        </w:tabs>
        <w:ind w:left="544" w:hanging="544"/>
      </w:pPr>
      <w:rPr>
        <w:rFonts w:hint="eastAsia" w:cs="Times New Roman"/>
      </w:rPr>
    </w:lvl>
    <w:lvl w:ilvl="6" w:tentative="0">
      <w:start w:val="1"/>
      <w:numFmt w:val="decimal"/>
      <w:lvlText w:val="%7."/>
      <w:lvlJc w:val="left"/>
      <w:pPr>
        <w:tabs>
          <w:tab w:val="left" w:pos="644"/>
        </w:tabs>
        <w:ind w:left="544" w:hanging="544"/>
      </w:pPr>
      <w:rPr>
        <w:rFonts w:hint="eastAsia" w:cs="Times New Roman"/>
      </w:rPr>
    </w:lvl>
    <w:lvl w:ilvl="7" w:tentative="0">
      <w:start w:val="1"/>
      <w:numFmt w:val="lowerLetter"/>
      <w:lvlText w:val="%8)"/>
      <w:lvlJc w:val="left"/>
      <w:pPr>
        <w:tabs>
          <w:tab w:val="left" w:pos="672"/>
        </w:tabs>
        <w:ind w:left="544" w:hanging="544"/>
      </w:pPr>
      <w:rPr>
        <w:rFonts w:hint="eastAsia" w:cs="Times New Roman"/>
      </w:rPr>
    </w:lvl>
    <w:lvl w:ilvl="8" w:tentative="0">
      <w:start w:val="1"/>
      <w:numFmt w:val="lowerRoman"/>
      <w:lvlText w:val="%9."/>
      <w:lvlJc w:val="right"/>
      <w:pPr>
        <w:tabs>
          <w:tab w:val="left" w:pos="700"/>
        </w:tabs>
        <w:ind w:left="544" w:hanging="544"/>
      </w:pPr>
      <w:rPr>
        <w:rFonts w:hint="eastAsia" w:cs="Times New Roman"/>
      </w:rPr>
    </w:lvl>
  </w:abstractNum>
  <w:abstractNum w:abstractNumId="6">
    <w:nsid w:val="44C50F90"/>
    <w:multiLevelType w:val="multilevel"/>
    <w:tmpl w:val="44C50F90"/>
    <w:lvl w:ilvl="0" w:tentative="0">
      <w:start w:val="1"/>
      <w:numFmt w:val="lowerLetter"/>
      <w:pStyle w:val="63"/>
      <w:lvlText w:val="%1)"/>
      <w:lvlJc w:val="left"/>
      <w:pPr>
        <w:tabs>
          <w:tab w:val="left" w:pos="840"/>
        </w:tabs>
        <w:ind w:left="839" w:hanging="419"/>
      </w:pPr>
      <w:rPr>
        <w:rFonts w:hint="eastAsia" w:ascii="宋体" w:eastAsia="宋体" w:cs="Times New Roman"/>
        <w:b w:val="0"/>
        <w:i w:val="0"/>
        <w:sz w:val="21"/>
        <w:szCs w:val="21"/>
      </w:rPr>
    </w:lvl>
    <w:lvl w:ilvl="1" w:tentative="0">
      <w:start w:val="1"/>
      <w:numFmt w:val="decimal"/>
      <w:pStyle w:val="56"/>
      <w:lvlText w:val="%2)"/>
      <w:lvlJc w:val="left"/>
      <w:pPr>
        <w:tabs>
          <w:tab w:val="left" w:pos="1260"/>
        </w:tabs>
        <w:ind w:left="1259" w:hanging="419"/>
      </w:pPr>
      <w:rPr>
        <w:rFonts w:hint="eastAsia" w:cs="Times New Roman"/>
      </w:rPr>
    </w:lvl>
    <w:lvl w:ilvl="2" w:tentative="0">
      <w:start w:val="1"/>
      <w:numFmt w:val="decimal"/>
      <w:pStyle w:val="65"/>
      <w:lvlText w:val="(%3)"/>
      <w:lvlJc w:val="left"/>
      <w:pPr>
        <w:tabs>
          <w:tab w:val="left" w:pos="0"/>
        </w:tabs>
        <w:ind w:left="1679" w:hanging="420"/>
      </w:pPr>
      <w:rPr>
        <w:rFonts w:hint="eastAsia" w:ascii="宋体" w:eastAsia="宋体" w:cs="Times New Roman"/>
        <w:b w:val="0"/>
        <w:i w:val="0"/>
        <w:sz w:val="21"/>
        <w:szCs w:val="21"/>
      </w:rPr>
    </w:lvl>
    <w:lvl w:ilvl="3" w:tentative="0">
      <w:start w:val="1"/>
      <w:numFmt w:val="decimal"/>
      <w:lvlText w:val="%4."/>
      <w:lvlJc w:val="left"/>
      <w:pPr>
        <w:tabs>
          <w:tab w:val="left" w:pos="2100"/>
        </w:tabs>
        <w:ind w:left="2099" w:hanging="419"/>
      </w:pPr>
      <w:rPr>
        <w:rFonts w:hint="eastAsia" w:cs="Times New Roman"/>
      </w:rPr>
    </w:lvl>
    <w:lvl w:ilvl="4" w:tentative="0">
      <w:start w:val="1"/>
      <w:numFmt w:val="lowerLetter"/>
      <w:lvlText w:val="%5)"/>
      <w:lvlJc w:val="left"/>
      <w:pPr>
        <w:tabs>
          <w:tab w:val="left" w:pos="2520"/>
        </w:tabs>
        <w:ind w:left="2519" w:hanging="419"/>
      </w:pPr>
      <w:rPr>
        <w:rFonts w:hint="eastAsia" w:cs="Times New Roman"/>
      </w:rPr>
    </w:lvl>
    <w:lvl w:ilvl="5" w:tentative="0">
      <w:start w:val="1"/>
      <w:numFmt w:val="lowerRoman"/>
      <w:lvlText w:val="%6."/>
      <w:lvlJc w:val="right"/>
      <w:pPr>
        <w:tabs>
          <w:tab w:val="left" w:pos="2940"/>
        </w:tabs>
        <w:ind w:left="2939" w:hanging="419"/>
      </w:pPr>
      <w:rPr>
        <w:rFonts w:hint="eastAsia" w:cs="Times New Roman"/>
      </w:rPr>
    </w:lvl>
    <w:lvl w:ilvl="6" w:tentative="0">
      <w:start w:val="1"/>
      <w:numFmt w:val="decimal"/>
      <w:lvlText w:val="%7."/>
      <w:lvlJc w:val="left"/>
      <w:pPr>
        <w:tabs>
          <w:tab w:val="left" w:pos="3360"/>
        </w:tabs>
        <w:ind w:left="3359" w:hanging="419"/>
      </w:pPr>
      <w:rPr>
        <w:rFonts w:hint="eastAsia" w:cs="Times New Roman"/>
      </w:rPr>
    </w:lvl>
    <w:lvl w:ilvl="7" w:tentative="0">
      <w:start w:val="1"/>
      <w:numFmt w:val="lowerLetter"/>
      <w:lvlText w:val="%8)"/>
      <w:lvlJc w:val="left"/>
      <w:pPr>
        <w:tabs>
          <w:tab w:val="left" w:pos="3780"/>
        </w:tabs>
        <w:ind w:left="3779" w:hanging="419"/>
      </w:pPr>
      <w:rPr>
        <w:rFonts w:hint="eastAsia" w:cs="Times New Roman"/>
      </w:rPr>
    </w:lvl>
    <w:lvl w:ilvl="8" w:tentative="0">
      <w:start w:val="1"/>
      <w:numFmt w:val="lowerRoman"/>
      <w:lvlText w:val="%9."/>
      <w:lvlJc w:val="right"/>
      <w:pPr>
        <w:tabs>
          <w:tab w:val="left" w:pos="4200"/>
        </w:tabs>
        <w:ind w:left="4199" w:hanging="419"/>
      </w:pPr>
      <w:rPr>
        <w:rFonts w:hint="eastAsia" w:cs="Times New Roman"/>
      </w:rPr>
    </w:lvl>
  </w:abstractNum>
  <w:abstractNum w:abstractNumId="7">
    <w:nsid w:val="60B55DC2"/>
    <w:multiLevelType w:val="multilevel"/>
    <w:tmpl w:val="60B55DC2"/>
    <w:lvl w:ilvl="0" w:tentative="0">
      <w:start w:val="1"/>
      <w:numFmt w:val="upperLetter"/>
      <w:pStyle w:val="90"/>
      <w:lvlText w:val="%1"/>
      <w:lvlJc w:val="left"/>
      <w:pPr>
        <w:tabs>
          <w:tab w:val="left" w:pos="0"/>
        </w:tabs>
        <w:ind w:hanging="425"/>
      </w:pPr>
      <w:rPr>
        <w:rFonts w:hint="eastAsia" w:cs="Times New Roman"/>
      </w:rPr>
    </w:lvl>
    <w:lvl w:ilvl="1" w:tentative="0">
      <w:start w:val="1"/>
      <w:numFmt w:val="decimal"/>
      <w:pStyle w:val="91"/>
      <w:suff w:val="nothing"/>
      <w:lvlText w:val="表%1.%2　"/>
      <w:lvlJc w:val="left"/>
      <w:pPr>
        <w:ind w:left="3969" w:hanging="567"/>
      </w:pPr>
      <w:rPr>
        <w:rFonts w:hint="eastAsia" w:cs="Times New Roman"/>
      </w:rPr>
    </w:lvl>
    <w:lvl w:ilvl="2" w:tentative="0">
      <w:start w:val="1"/>
      <w:numFmt w:val="decimal"/>
      <w:lvlText w:val="%1.%2.%3"/>
      <w:lvlJc w:val="left"/>
      <w:pPr>
        <w:tabs>
          <w:tab w:val="left" w:pos="993"/>
        </w:tabs>
        <w:ind w:left="993" w:hanging="567"/>
      </w:pPr>
      <w:rPr>
        <w:rFonts w:hint="eastAsia" w:cs="Times New Roman"/>
      </w:rPr>
    </w:lvl>
    <w:lvl w:ilvl="3" w:tentative="0">
      <w:start w:val="1"/>
      <w:numFmt w:val="decimal"/>
      <w:lvlText w:val="%1.%2.%3.%4"/>
      <w:lvlJc w:val="left"/>
      <w:pPr>
        <w:tabs>
          <w:tab w:val="left" w:pos="2291"/>
        </w:tabs>
        <w:ind w:left="1559" w:hanging="708"/>
      </w:pPr>
      <w:rPr>
        <w:rFonts w:hint="eastAsia" w:cs="Times New Roman"/>
      </w:rPr>
    </w:lvl>
    <w:lvl w:ilvl="4" w:tentative="0">
      <w:start w:val="1"/>
      <w:numFmt w:val="decimal"/>
      <w:lvlText w:val="%1.%2.%3.%4.%5"/>
      <w:lvlJc w:val="left"/>
      <w:pPr>
        <w:tabs>
          <w:tab w:val="left" w:pos="3076"/>
        </w:tabs>
        <w:ind w:left="2126" w:hanging="850"/>
      </w:pPr>
      <w:rPr>
        <w:rFonts w:hint="eastAsia" w:cs="Times New Roman"/>
      </w:rPr>
    </w:lvl>
    <w:lvl w:ilvl="5" w:tentative="0">
      <w:start w:val="1"/>
      <w:numFmt w:val="decimal"/>
      <w:lvlText w:val="%1.%2.%3.%4.%5.%6"/>
      <w:lvlJc w:val="left"/>
      <w:pPr>
        <w:tabs>
          <w:tab w:val="left" w:pos="3861"/>
        </w:tabs>
        <w:ind w:left="2835" w:hanging="1134"/>
      </w:pPr>
      <w:rPr>
        <w:rFonts w:hint="eastAsia" w:cs="Times New Roman"/>
      </w:rPr>
    </w:lvl>
    <w:lvl w:ilvl="6" w:tentative="0">
      <w:start w:val="1"/>
      <w:numFmt w:val="decimal"/>
      <w:lvlText w:val="%1.%2.%3.%4.%5.%6.%7"/>
      <w:lvlJc w:val="left"/>
      <w:pPr>
        <w:tabs>
          <w:tab w:val="left" w:pos="4646"/>
        </w:tabs>
        <w:ind w:left="3402" w:hanging="1276"/>
      </w:pPr>
      <w:rPr>
        <w:rFonts w:hint="eastAsia" w:cs="Times New Roman"/>
      </w:rPr>
    </w:lvl>
    <w:lvl w:ilvl="7" w:tentative="0">
      <w:start w:val="1"/>
      <w:numFmt w:val="decimal"/>
      <w:lvlText w:val="%1.%2.%3.%4.%5.%6.%7.%8"/>
      <w:lvlJc w:val="left"/>
      <w:pPr>
        <w:tabs>
          <w:tab w:val="left" w:pos="5431"/>
        </w:tabs>
        <w:ind w:left="3969" w:hanging="1418"/>
      </w:pPr>
      <w:rPr>
        <w:rFonts w:hint="eastAsia" w:cs="Times New Roman"/>
      </w:rPr>
    </w:lvl>
    <w:lvl w:ilvl="8" w:tentative="0">
      <w:start w:val="1"/>
      <w:numFmt w:val="decimal"/>
      <w:lvlText w:val="%1.%2.%3.%4.%5.%6.%7.%8.%9"/>
      <w:lvlJc w:val="left"/>
      <w:pPr>
        <w:tabs>
          <w:tab w:val="left" w:pos="6217"/>
        </w:tabs>
        <w:ind w:left="4677" w:hanging="1700"/>
      </w:pPr>
      <w:rPr>
        <w:rFonts w:hint="eastAsia" w:cs="Times New Roman"/>
      </w:rPr>
    </w:lvl>
  </w:abstractNum>
  <w:abstractNum w:abstractNumId="8">
    <w:nsid w:val="657D3FBC"/>
    <w:multiLevelType w:val="multilevel"/>
    <w:tmpl w:val="657D3FBC"/>
    <w:lvl w:ilvl="0" w:tentative="0">
      <w:start w:val="1"/>
      <w:numFmt w:val="upperLetter"/>
      <w:pStyle w:val="88"/>
      <w:suff w:val="nothing"/>
      <w:lvlText w:val="附　录　%1"/>
      <w:lvlJc w:val="left"/>
      <w:rPr>
        <w:rFonts w:hint="eastAsia" w:ascii="黑体" w:hAnsi="Times New Roman" w:eastAsia="黑体" w:cs="Times New Roman"/>
        <w:b w:val="0"/>
        <w:i w:val="0"/>
        <w:spacing w:val="0"/>
        <w:w w:val="100"/>
        <w:sz w:val="21"/>
      </w:rPr>
    </w:lvl>
    <w:lvl w:ilvl="1" w:tentative="0">
      <w:start w:val="1"/>
      <w:numFmt w:val="decimal"/>
      <w:pStyle w:val="106"/>
      <w:suff w:val="nothing"/>
      <w:lvlText w:val="%1.%2　"/>
      <w:lvlJc w:val="left"/>
      <w:rPr>
        <w:rFonts w:hint="eastAsia" w:ascii="黑体" w:hAnsi="Times New Roman" w:eastAsia="黑体" w:cs="Times New Roman"/>
        <w:b w:val="0"/>
        <w:i w:val="0"/>
        <w:snapToGrid/>
        <w:spacing w:val="0"/>
        <w:w w:val="100"/>
        <w:kern w:val="21"/>
        <w:sz w:val="21"/>
      </w:rPr>
    </w:lvl>
    <w:lvl w:ilvl="2" w:tentative="0">
      <w:start w:val="1"/>
      <w:numFmt w:val="decimal"/>
      <w:pStyle w:val="107"/>
      <w:suff w:val="nothing"/>
      <w:lvlText w:val="%1.%2.%3　"/>
      <w:lvlJc w:val="left"/>
      <w:rPr>
        <w:rFonts w:hint="eastAsia" w:ascii="黑体" w:hAnsi="Times New Roman" w:eastAsia="黑体" w:cs="Times New Roman"/>
        <w:b w:val="0"/>
        <w:i w:val="0"/>
        <w:sz w:val="21"/>
      </w:rPr>
    </w:lvl>
    <w:lvl w:ilvl="3" w:tentative="0">
      <w:start w:val="1"/>
      <w:numFmt w:val="decimal"/>
      <w:pStyle w:val="92"/>
      <w:suff w:val="nothing"/>
      <w:lvlText w:val="%1.%2.%3.%4　"/>
      <w:lvlJc w:val="left"/>
      <w:rPr>
        <w:rFonts w:hint="eastAsia" w:ascii="黑体" w:hAnsi="Times New Roman" w:eastAsia="黑体" w:cs="Times New Roman"/>
        <w:b w:val="0"/>
        <w:i w:val="0"/>
        <w:sz w:val="21"/>
      </w:rPr>
    </w:lvl>
    <w:lvl w:ilvl="4" w:tentative="0">
      <w:start w:val="1"/>
      <w:numFmt w:val="decimal"/>
      <w:pStyle w:val="97"/>
      <w:suff w:val="nothing"/>
      <w:lvlText w:val="%1.%2.%3.%4.%5　"/>
      <w:lvlJc w:val="left"/>
      <w:rPr>
        <w:rFonts w:hint="eastAsia" w:ascii="黑体" w:hAnsi="Times New Roman" w:eastAsia="黑体" w:cs="Times New Roman"/>
        <w:b w:val="0"/>
        <w:i w:val="0"/>
        <w:sz w:val="21"/>
      </w:rPr>
    </w:lvl>
    <w:lvl w:ilvl="5" w:tentative="0">
      <w:start w:val="1"/>
      <w:numFmt w:val="decimal"/>
      <w:pStyle w:val="100"/>
      <w:suff w:val="nothing"/>
      <w:lvlText w:val="%1.%2.%3.%4.%5.%6　"/>
      <w:lvlJc w:val="left"/>
      <w:rPr>
        <w:rFonts w:hint="eastAsia" w:ascii="黑体" w:hAnsi="Times New Roman" w:eastAsia="黑体" w:cs="Times New Roman"/>
        <w:b w:val="0"/>
        <w:i w:val="0"/>
        <w:sz w:val="21"/>
      </w:rPr>
    </w:lvl>
    <w:lvl w:ilvl="6" w:tentative="0">
      <w:start w:val="1"/>
      <w:numFmt w:val="decimal"/>
      <w:pStyle w:val="104"/>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4394"/>
        </w:tabs>
        <w:ind w:left="4394" w:hanging="1418"/>
      </w:pPr>
      <w:rPr>
        <w:rFonts w:hint="eastAsia" w:cs="Times New Roman"/>
      </w:rPr>
    </w:lvl>
    <w:lvl w:ilvl="8" w:tentative="0">
      <w:start w:val="1"/>
      <w:numFmt w:val="decimal"/>
      <w:lvlText w:val="%1.%2.%3.%4.%5.%6.%7.%8.%9"/>
      <w:lvlJc w:val="left"/>
      <w:pPr>
        <w:tabs>
          <w:tab w:val="left" w:pos="5102"/>
        </w:tabs>
        <w:ind w:left="5102" w:hanging="1700"/>
      </w:pPr>
      <w:rPr>
        <w:rFonts w:hint="eastAsia" w:cs="Times New Roman"/>
      </w:rPr>
    </w:lvl>
  </w:abstractNum>
  <w:abstractNum w:abstractNumId="9">
    <w:nsid w:val="6D6C07CD"/>
    <w:multiLevelType w:val="multilevel"/>
    <w:tmpl w:val="6D6C07CD"/>
    <w:lvl w:ilvl="0" w:tentative="0">
      <w:start w:val="1"/>
      <w:numFmt w:val="lowerLetter"/>
      <w:pStyle w:val="109"/>
      <w:lvlText w:val="%1)"/>
      <w:lvlJc w:val="left"/>
      <w:pPr>
        <w:tabs>
          <w:tab w:val="left" w:pos="839"/>
        </w:tabs>
        <w:ind w:left="839" w:hanging="419"/>
      </w:pPr>
      <w:rPr>
        <w:rFonts w:hint="eastAsia" w:ascii="宋体" w:eastAsia="宋体" w:cs="Times New Roman"/>
        <w:b w:val="0"/>
        <w:i w:val="0"/>
        <w:sz w:val="21"/>
      </w:rPr>
    </w:lvl>
    <w:lvl w:ilvl="1" w:tentative="0">
      <w:start w:val="1"/>
      <w:numFmt w:val="decimal"/>
      <w:pStyle w:val="99"/>
      <w:lvlText w:val="%2)"/>
      <w:lvlJc w:val="left"/>
      <w:pPr>
        <w:tabs>
          <w:tab w:val="left" w:pos="840"/>
        </w:tabs>
        <w:ind w:left="839" w:hanging="419"/>
      </w:pPr>
      <w:rPr>
        <w:rFonts w:hint="eastAsia" w:ascii="宋体" w:eastAsia="宋体" w:cs="Times New Roman"/>
        <w:b w:val="0"/>
        <w:i w:val="0"/>
        <w:sz w:val="21"/>
      </w:rPr>
    </w:lvl>
    <w:lvl w:ilvl="2" w:tentative="0">
      <w:start w:val="1"/>
      <w:numFmt w:val="lowerRoman"/>
      <w:lvlText w:val="%3."/>
      <w:lvlJc w:val="right"/>
      <w:pPr>
        <w:tabs>
          <w:tab w:val="left" w:pos="1260"/>
        </w:tabs>
        <w:ind w:left="1259" w:hanging="419"/>
      </w:pPr>
      <w:rPr>
        <w:rFonts w:hint="eastAsia" w:cs="Times New Roman"/>
      </w:rPr>
    </w:lvl>
    <w:lvl w:ilvl="3" w:tentative="0">
      <w:start w:val="1"/>
      <w:numFmt w:val="decimal"/>
      <w:lvlText w:val="%4."/>
      <w:lvlJc w:val="left"/>
      <w:pPr>
        <w:tabs>
          <w:tab w:val="left" w:pos="1680"/>
        </w:tabs>
        <w:ind w:left="1679" w:hanging="419"/>
      </w:pPr>
      <w:rPr>
        <w:rFonts w:hint="eastAsia" w:cs="Times New Roman"/>
      </w:rPr>
    </w:lvl>
    <w:lvl w:ilvl="4" w:tentative="0">
      <w:start w:val="1"/>
      <w:numFmt w:val="lowerLetter"/>
      <w:lvlText w:val="%5)"/>
      <w:lvlJc w:val="left"/>
      <w:pPr>
        <w:tabs>
          <w:tab w:val="left" w:pos="2100"/>
        </w:tabs>
        <w:ind w:left="2099" w:hanging="419"/>
      </w:pPr>
      <w:rPr>
        <w:rFonts w:hint="eastAsia" w:cs="Times New Roman"/>
      </w:rPr>
    </w:lvl>
    <w:lvl w:ilvl="5" w:tentative="0">
      <w:start w:val="1"/>
      <w:numFmt w:val="lowerRoman"/>
      <w:lvlText w:val="%6."/>
      <w:lvlJc w:val="right"/>
      <w:pPr>
        <w:tabs>
          <w:tab w:val="left" w:pos="2520"/>
        </w:tabs>
        <w:ind w:left="2519" w:hanging="419"/>
      </w:pPr>
      <w:rPr>
        <w:rFonts w:hint="eastAsia" w:cs="Times New Roman"/>
      </w:rPr>
    </w:lvl>
    <w:lvl w:ilvl="6" w:tentative="0">
      <w:start w:val="1"/>
      <w:numFmt w:val="decimal"/>
      <w:lvlText w:val="%7."/>
      <w:lvlJc w:val="left"/>
      <w:pPr>
        <w:tabs>
          <w:tab w:val="left" w:pos="2940"/>
        </w:tabs>
        <w:ind w:left="2939" w:hanging="419"/>
      </w:pPr>
      <w:rPr>
        <w:rFonts w:hint="eastAsia" w:cs="Times New Roman"/>
      </w:rPr>
    </w:lvl>
    <w:lvl w:ilvl="7" w:tentative="0">
      <w:start w:val="1"/>
      <w:numFmt w:val="lowerLetter"/>
      <w:lvlText w:val="%8)"/>
      <w:lvlJc w:val="left"/>
      <w:pPr>
        <w:tabs>
          <w:tab w:val="left" w:pos="3360"/>
        </w:tabs>
        <w:ind w:left="3359" w:hanging="419"/>
      </w:pPr>
      <w:rPr>
        <w:rFonts w:hint="eastAsia" w:cs="Times New Roman"/>
      </w:rPr>
    </w:lvl>
    <w:lvl w:ilvl="8" w:tentative="0">
      <w:start w:val="1"/>
      <w:numFmt w:val="lowerRoman"/>
      <w:lvlText w:val="%9."/>
      <w:lvlJc w:val="right"/>
      <w:pPr>
        <w:tabs>
          <w:tab w:val="left" w:pos="3780"/>
        </w:tabs>
        <w:ind w:left="3779" w:hanging="419"/>
      </w:pPr>
      <w:rPr>
        <w:rFonts w:hint="eastAsia" w:cs="Times New Roman"/>
      </w:rPr>
    </w:lvl>
  </w:abstractNum>
  <w:num w:numId="1">
    <w:abstractNumId w:val="5"/>
  </w:num>
  <w:num w:numId="2">
    <w:abstractNumId w:val="2"/>
  </w:num>
  <w:num w:numId="3">
    <w:abstractNumId w:val="4"/>
  </w:num>
  <w:num w:numId="4">
    <w:abstractNumId w:val="6"/>
  </w:num>
  <w:num w:numId="5">
    <w:abstractNumId w:val="1"/>
  </w:num>
  <w:num w:numId="6">
    <w:abstractNumId w:val="8"/>
  </w:num>
  <w:num w:numId="7">
    <w:abstractNumId w:val="7"/>
  </w:num>
  <w:num w:numId="8">
    <w:abstractNumId w:val="9"/>
  </w:num>
  <w:num w:numId="9">
    <w:abstractNumId w:val="3"/>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8"/>
  <w:removePersonalInformation/>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MTkyNWE3NDUwODUzOTRiNzMyY2UwZmUzNjk3MWE3MDYifQ=="/>
  </w:docVars>
  <w:rsids>
    <w:rsidRoot w:val="00CC0565"/>
    <w:rsid w:val="00000244"/>
    <w:rsid w:val="0000185F"/>
    <w:rsid w:val="0000586F"/>
    <w:rsid w:val="00013D86"/>
    <w:rsid w:val="00013E02"/>
    <w:rsid w:val="0002143C"/>
    <w:rsid w:val="00022439"/>
    <w:rsid w:val="00025A65"/>
    <w:rsid w:val="00026C31"/>
    <w:rsid w:val="00027280"/>
    <w:rsid w:val="000320A7"/>
    <w:rsid w:val="00035925"/>
    <w:rsid w:val="00042FEE"/>
    <w:rsid w:val="000461B2"/>
    <w:rsid w:val="00054CBA"/>
    <w:rsid w:val="00054E0B"/>
    <w:rsid w:val="00067CDF"/>
    <w:rsid w:val="00074FBE"/>
    <w:rsid w:val="00083A09"/>
    <w:rsid w:val="0009005E"/>
    <w:rsid w:val="00092857"/>
    <w:rsid w:val="000A20A9"/>
    <w:rsid w:val="000A48B1"/>
    <w:rsid w:val="000B3143"/>
    <w:rsid w:val="000B57C0"/>
    <w:rsid w:val="000C07BA"/>
    <w:rsid w:val="000C6B05"/>
    <w:rsid w:val="000C6DD6"/>
    <w:rsid w:val="000C73D4"/>
    <w:rsid w:val="000D3D4C"/>
    <w:rsid w:val="000D4F51"/>
    <w:rsid w:val="000D67C9"/>
    <w:rsid w:val="000D718B"/>
    <w:rsid w:val="000E0C46"/>
    <w:rsid w:val="000F030C"/>
    <w:rsid w:val="000F129C"/>
    <w:rsid w:val="001032F0"/>
    <w:rsid w:val="001056DE"/>
    <w:rsid w:val="001124C0"/>
    <w:rsid w:val="001222F1"/>
    <w:rsid w:val="00127C2A"/>
    <w:rsid w:val="0013175F"/>
    <w:rsid w:val="001420E5"/>
    <w:rsid w:val="001512B4"/>
    <w:rsid w:val="001534E4"/>
    <w:rsid w:val="001620A5"/>
    <w:rsid w:val="001622CC"/>
    <w:rsid w:val="00164E53"/>
    <w:rsid w:val="0016699D"/>
    <w:rsid w:val="00175159"/>
    <w:rsid w:val="00176208"/>
    <w:rsid w:val="0018211B"/>
    <w:rsid w:val="001840D3"/>
    <w:rsid w:val="001900F8"/>
    <w:rsid w:val="00191258"/>
    <w:rsid w:val="00192680"/>
    <w:rsid w:val="00193037"/>
    <w:rsid w:val="00193A2C"/>
    <w:rsid w:val="0019730E"/>
    <w:rsid w:val="0019798A"/>
    <w:rsid w:val="001A288E"/>
    <w:rsid w:val="001A389D"/>
    <w:rsid w:val="001B6DC2"/>
    <w:rsid w:val="001B7ADA"/>
    <w:rsid w:val="001B7D52"/>
    <w:rsid w:val="001C149C"/>
    <w:rsid w:val="001C21AC"/>
    <w:rsid w:val="001C39A9"/>
    <w:rsid w:val="001C47BA"/>
    <w:rsid w:val="001C59EA"/>
    <w:rsid w:val="001C688B"/>
    <w:rsid w:val="001C70A1"/>
    <w:rsid w:val="001D0DC4"/>
    <w:rsid w:val="001D406C"/>
    <w:rsid w:val="001D41EE"/>
    <w:rsid w:val="001E0380"/>
    <w:rsid w:val="001E132B"/>
    <w:rsid w:val="001E13B1"/>
    <w:rsid w:val="001E592F"/>
    <w:rsid w:val="001F3A19"/>
    <w:rsid w:val="00201738"/>
    <w:rsid w:val="00202AC6"/>
    <w:rsid w:val="00234467"/>
    <w:rsid w:val="00237D8D"/>
    <w:rsid w:val="00241DA2"/>
    <w:rsid w:val="0024765D"/>
    <w:rsid w:val="00247FEE"/>
    <w:rsid w:val="00250E7D"/>
    <w:rsid w:val="00253A25"/>
    <w:rsid w:val="002565D5"/>
    <w:rsid w:val="002622C0"/>
    <w:rsid w:val="002778AE"/>
    <w:rsid w:val="0028269A"/>
    <w:rsid w:val="00283590"/>
    <w:rsid w:val="002864F8"/>
    <w:rsid w:val="00286973"/>
    <w:rsid w:val="00294E70"/>
    <w:rsid w:val="002950B7"/>
    <w:rsid w:val="002A1924"/>
    <w:rsid w:val="002A7420"/>
    <w:rsid w:val="002B0480"/>
    <w:rsid w:val="002B0F12"/>
    <w:rsid w:val="002B1308"/>
    <w:rsid w:val="002B4554"/>
    <w:rsid w:val="002C6FB3"/>
    <w:rsid w:val="002C72D8"/>
    <w:rsid w:val="002D11FA"/>
    <w:rsid w:val="002D2858"/>
    <w:rsid w:val="002E03F9"/>
    <w:rsid w:val="002E0DDF"/>
    <w:rsid w:val="002E2906"/>
    <w:rsid w:val="002E5635"/>
    <w:rsid w:val="002E64C3"/>
    <w:rsid w:val="002E6A2C"/>
    <w:rsid w:val="002F0EA8"/>
    <w:rsid w:val="002F1D8C"/>
    <w:rsid w:val="002F21DA"/>
    <w:rsid w:val="00301F39"/>
    <w:rsid w:val="00302DC8"/>
    <w:rsid w:val="00325926"/>
    <w:rsid w:val="00327A8A"/>
    <w:rsid w:val="003333EB"/>
    <w:rsid w:val="00336610"/>
    <w:rsid w:val="00343F73"/>
    <w:rsid w:val="00345060"/>
    <w:rsid w:val="00347629"/>
    <w:rsid w:val="00352528"/>
    <w:rsid w:val="0035323B"/>
    <w:rsid w:val="003609D2"/>
    <w:rsid w:val="00363F22"/>
    <w:rsid w:val="00371DD8"/>
    <w:rsid w:val="00375564"/>
    <w:rsid w:val="0038309A"/>
    <w:rsid w:val="00383191"/>
    <w:rsid w:val="00386DED"/>
    <w:rsid w:val="00390383"/>
    <w:rsid w:val="00390615"/>
    <w:rsid w:val="003912E7"/>
    <w:rsid w:val="00393947"/>
    <w:rsid w:val="003A2275"/>
    <w:rsid w:val="003A6A4F"/>
    <w:rsid w:val="003A7088"/>
    <w:rsid w:val="003B00DF"/>
    <w:rsid w:val="003B1275"/>
    <w:rsid w:val="003B1778"/>
    <w:rsid w:val="003C11CB"/>
    <w:rsid w:val="003C75F3"/>
    <w:rsid w:val="003C78A3"/>
    <w:rsid w:val="003E1867"/>
    <w:rsid w:val="003E5729"/>
    <w:rsid w:val="003F4EE0"/>
    <w:rsid w:val="003F7790"/>
    <w:rsid w:val="00402153"/>
    <w:rsid w:val="00402FC1"/>
    <w:rsid w:val="00425082"/>
    <w:rsid w:val="00431DEB"/>
    <w:rsid w:val="00446B29"/>
    <w:rsid w:val="00453F9A"/>
    <w:rsid w:val="00466BD7"/>
    <w:rsid w:val="00471E91"/>
    <w:rsid w:val="004724D7"/>
    <w:rsid w:val="00472955"/>
    <w:rsid w:val="00474675"/>
    <w:rsid w:val="0047470C"/>
    <w:rsid w:val="00485C44"/>
    <w:rsid w:val="0049526A"/>
    <w:rsid w:val="004A2F36"/>
    <w:rsid w:val="004A35F9"/>
    <w:rsid w:val="004A6D60"/>
    <w:rsid w:val="004B24C1"/>
    <w:rsid w:val="004C292F"/>
    <w:rsid w:val="004C4C0A"/>
    <w:rsid w:val="004C5656"/>
    <w:rsid w:val="004D2D25"/>
    <w:rsid w:val="004D59C9"/>
    <w:rsid w:val="004F6B24"/>
    <w:rsid w:val="00510280"/>
    <w:rsid w:val="005119AA"/>
    <w:rsid w:val="00513D73"/>
    <w:rsid w:val="00514A43"/>
    <w:rsid w:val="005174E5"/>
    <w:rsid w:val="00522393"/>
    <w:rsid w:val="00522620"/>
    <w:rsid w:val="00525656"/>
    <w:rsid w:val="00534C02"/>
    <w:rsid w:val="0053584F"/>
    <w:rsid w:val="0054264B"/>
    <w:rsid w:val="00543786"/>
    <w:rsid w:val="0054596C"/>
    <w:rsid w:val="005533D7"/>
    <w:rsid w:val="0056562F"/>
    <w:rsid w:val="00565DAF"/>
    <w:rsid w:val="005703DE"/>
    <w:rsid w:val="0057353B"/>
    <w:rsid w:val="00576A84"/>
    <w:rsid w:val="00576FD7"/>
    <w:rsid w:val="0058464E"/>
    <w:rsid w:val="005866F1"/>
    <w:rsid w:val="005A01CB"/>
    <w:rsid w:val="005A58FF"/>
    <w:rsid w:val="005A5EAF"/>
    <w:rsid w:val="005A64C0"/>
    <w:rsid w:val="005B3C11"/>
    <w:rsid w:val="005B5856"/>
    <w:rsid w:val="005C1C28"/>
    <w:rsid w:val="005C6DB5"/>
    <w:rsid w:val="005E19E7"/>
    <w:rsid w:val="0061716C"/>
    <w:rsid w:val="006243A1"/>
    <w:rsid w:val="00631D90"/>
    <w:rsid w:val="00632E56"/>
    <w:rsid w:val="00635CBA"/>
    <w:rsid w:val="0064338B"/>
    <w:rsid w:val="00646542"/>
    <w:rsid w:val="006504F4"/>
    <w:rsid w:val="00654BC9"/>
    <w:rsid w:val="006552FD"/>
    <w:rsid w:val="00663AF3"/>
    <w:rsid w:val="00666B6C"/>
    <w:rsid w:val="0067104A"/>
    <w:rsid w:val="006744E1"/>
    <w:rsid w:val="00675E86"/>
    <w:rsid w:val="00680DEE"/>
    <w:rsid w:val="00682682"/>
    <w:rsid w:val="00682702"/>
    <w:rsid w:val="00690D86"/>
    <w:rsid w:val="00692368"/>
    <w:rsid w:val="00693FEF"/>
    <w:rsid w:val="006A2EBC"/>
    <w:rsid w:val="006A53CA"/>
    <w:rsid w:val="006A5EA0"/>
    <w:rsid w:val="006A783B"/>
    <w:rsid w:val="006A7B33"/>
    <w:rsid w:val="006B4E13"/>
    <w:rsid w:val="006B75DD"/>
    <w:rsid w:val="006C67E0"/>
    <w:rsid w:val="006C7ABA"/>
    <w:rsid w:val="006D0D60"/>
    <w:rsid w:val="006D1122"/>
    <w:rsid w:val="006D24A8"/>
    <w:rsid w:val="006D3C00"/>
    <w:rsid w:val="006D5256"/>
    <w:rsid w:val="006E3675"/>
    <w:rsid w:val="006E42C5"/>
    <w:rsid w:val="006E4A7F"/>
    <w:rsid w:val="006F1369"/>
    <w:rsid w:val="00704DF6"/>
    <w:rsid w:val="0070651C"/>
    <w:rsid w:val="007132A3"/>
    <w:rsid w:val="00716421"/>
    <w:rsid w:val="0071669F"/>
    <w:rsid w:val="007231B8"/>
    <w:rsid w:val="00724EFB"/>
    <w:rsid w:val="007419C3"/>
    <w:rsid w:val="007465B2"/>
    <w:rsid w:val="007467A7"/>
    <w:rsid w:val="007469DD"/>
    <w:rsid w:val="0074741B"/>
    <w:rsid w:val="0074759E"/>
    <w:rsid w:val="007478EA"/>
    <w:rsid w:val="0075415C"/>
    <w:rsid w:val="00763502"/>
    <w:rsid w:val="00765AE8"/>
    <w:rsid w:val="007913AB"/>
    <w:rsid w:val="007914F7"/>
    <w:rsid w:val="007B1625"/>
    <w:rsid w:val="007B706E"/>
    <w:rsid w:val="007B71EB"/>
    <w:rsid w:val="007C6205"/>
    <w:rsid w:val="007C65B9"/>
    <w:rsid w:val="007C686A"/>
    <w:rsid w:val="007C728E"/>
    <w:rsid w:val="007D14DA"/>
    <w:rsid w:val="007D2C53"/>
    <w:rsid w:val="007D3D60"/>
    <w:rsid w:val="007D41AE"/>
    <w:rsid w:val="007E1980"/>
    <w:rsid w:val="007E4B76"/>
    <w:rsid w:val="007E5EA8"/>
    <w:rsid w:val="007F07BB"/>
    <w:rsid w:val="007F0CF1"/>
    <w:rsid w:val="007F12A5"/>
    <w:rsid w:val="007F4469"/>
    <w:rsid w:val="007F4CF1"/>
    <w:rsid w:val="007F758D"/>
    <w:rsid w:val="007F7D52"/>
    <w:rsid w:val="0080654C"/>
    <w:rsid w:val="008071C6"/>
    <w:rsid w:val="00817A00"/>
    <w:rsid w:val="00820364"/>
    <w:rsid w:val="00835DB3"/>
    <w:rsid w:val="0083617B"/>
    <w:rsid w:val="008371BD"/>
    <w:rsid w:val="00842758"/>
    <w:rsid w:val="00843A7B"/>
    <w:rsid w:val="00847DAA"/>
    <w:rsid w:val="008504A8"/>
    <w:rsid w:val="0085282E"/>
    <w:rsid w:val="0087198C"/>
    <w:rsid w:val="00872C1F"/>
    <w:rsid w:val="00873B42"/>
    <w:rsid w:val="00877AF7"/>
    <w:rsid w:val="0088287F"/>
    <w:rsid w:val="008856D8"/>
    <w:rsid w:val="00892E82"/>
    <w:rsid w:val="0089413E"/>
    <w:rsid w:val="00895CAF"/>
    <w:rsid w:val="008A184C"/>
    <w:rsid w:val="008C1B58"/>
    <w:rsid w:val="008C39AE"/>
    <w:rsid w:val="008C590D"/>
    <w:rsid w:val="008E031B"/>
    <w:rsid w:val="008E5B6C"/>
    <w:rsid w:val="008E6E07"/>
    <w:rsid w:val="008E7029"/>
    <w:rsid w:val="008E7EF6"/>
    <w:rsid w:val="008F1165"/>
    <w:rsid w:val="008F1F98"/>
    <w:rsid w:val="008F6043"/>
    <w:rsid w:val="008F6758"/>
    <w:rsid w:val="00903070"/>
    <w:rsid w:val="009040DD"/>
    <w:rsid w:val="00904822"/>
    <w:rsid w:val="00905B47"/>
    <w:rsid w:val="0091331C"/>
    <w:rsid w:val="009279DE"/>
    <w:rsid w:val="00930116"/>
    <w:rsid w:val="00934230"/>
    <w:rsid w:val="0094212C"/>
    <w:rsid w:val="00954689"/>
    <w:rsid w:val="00961544"/>
    <w:rsid w:val="009617C9"/>
    <w:rsid w:val="00961C93"/>
    <w:rsid w:val="00965324"/>
    <w:rsid w:val="0097091E"/>
    <w:rsid w:val="009760D3"/>
    <w:rsid w:val="00977132"/>
    <w:rsid w:val="00981A4B"/>
    <w:rsid w:val="00981BD6"/>
    <w:rsid w:val="00982501"/>
    <w:rsid w:val="009877D3"/>
    <w:rsid w:val="00994E8F"/>
    <w:rsid w:val="009951DC"/>
    <w:rsid w:val="009959BB"/>
    <w:rsid w:val="00997158"/>
    <w:rsid w:val="009A3A7C"/>
    <w:rsid w:val="009A613A"/>
    <w:rsid w:val="009B2ADB"/>
    <w:rsid w:val="009B4356"/>
    <w:rsid w:val="009B603A"/>
    <w:rsid w:val="009C09CD"/>
    <w:rsid w:val="009C2D0E"/>
    <w:rsid w:val="009C3DAC"/>
    <w:rsid w:val="009C42E0"/>
    <w:rsid w:val="009D5362"/>
    <w:rsid w:val="009D605E"/>
    <w:rsid w:val="009E1415"/>
    <w:rsid w:val="009E6116"/>
    <w:rsid w:val="009F204F"/>
    <w:rsid w:val="00A00C90"/>
    <w:rsid w:val="00A02E43"/>
    <w:rsid w:val="00A065F9"/>
    <w:rsid w:val="00A07F34"/>
    <w:rsid w:val="00A100EC"/>
    <w:rsid w:val="00A22154"/>
    <w:rsid w:val="00A25C38"/>
    <w:rsid w:val="00A33DA2"/>
    <w:rsid w:val="00A36BBE"/>
    <w:rsid w:val="00A4307A"/>
    <w:rsid w:val="00A47EBB"/>
    <w:rsid w:val="00A50AB7"/>
    <w:rsid w:val="00A51CDD"/>
    <w:rsid w:val="00A6730D"/>
    <w:rsid w:val="00A71625"/>
    <w:rsid w:val="00A71B9B"/>
    <w:rsid w:val="00A751C7"/>
    <w:rsid w:val="00A87844"/>
    <w:rsid w:val="00AA038C"/>
    <w:rsid w:val="00AA5F3C"/>
    <w:rsid w:val="00AA7A09"/>
    <w:rsid w:val="00AB3B50"/>
    <w:rsid w:val="00AC05B1"/>
    <w:rsid w:val="00AD1C63"/>
    <w:rsid w:val="00AD356C"/>
    <w:rsid w:val="00AE0841"/>
    <w:rsid w:val="00AE2914"/>
    <w:rsid w:val="00AE6D15"/>
    <w:rsid w:val="00B04182"/>
    <w:rsid w:val="00B07AE3"/>
    <w:rsid w:val="00B11430"/>
    <w:rsid w:val="00B3137E"/>
    <w:rsid w:val="00B317A0"/>
    <w:rsid w:val="00B353EB"/>
    <w:rsid w:val="00B37651"/>
    <w:rsid w:val="00B439C4"/>
    <w:rsid w:val="00B4535E"/>
    <w:rsid w:val="00B52A8C"/>
    <w:rsid w:val="00B61977"/>
    <w:rsid w:val="00B61C01"/>
    <w:rsid w:val="00B636A8"/>
    <w:rsid w:val="00B665C6"/>
    <w:rsid w:val="00B67655"/>
    <w:rsid w:val="00B805AF"/>
    <w:rsid w:val="00B869EC"/>
    <w:rsid w:val="00B86C6A"/>
    <w:rsid w:val="00B90C07"/>
    <w:rsid w:val="00B9397A"/>
    <w:rsid w:val="00B9633D"/>
    <w:rsid w:val="00BA2E2E"/>
    <w:rsid w:val="00BA2EBE"/>
    <w:rsid w:val="00BA5D35"/>
    <w:rsid w:val="00BB0F28"/>
    <w:rsid w:val="00BB458A"/>
    <w:rsid w:val="00BD00D3"/>
    <w:rsid w:val="00BD1659"/>
    <w:rsid w:val="00BD1746"/>
    <w:rsid w:val="00BD3AA9"/>
    <w:rsid w:val="00BD4A18"/>
    <w:rsid w:val="00BD6DB2"/>
    <w:rsid w:val="00BD7AF6"/>
    <w:rsid w:val="00BE11CF"/>
    <w:rsid w:val="00BE21AB"/>
    <w:rsid w:val="00BE55CB"/>
    <w:rsid w:val="00BF42CD"/>
    <w:rsid w:val="00BF617A"/>
    <w:rsid w:val="00C0379D"/>
    <w:rsid w:val="00C03931"/>
    <w:rsid w:val="00C05FE3"/>
    <w:rsid w:val="00C16EDB"/>
    <w:rsid w:val="00C1711D"/>
    <w:rsid w:val="00C2136D"/>
    <w:rsid w:val="00C214EE"/>
    <w:rsid w:val="00C229DE"/>
    <w:rsid w:val="00C2314B"/>
    <w:rsid w:val="00C24971"/>
    <w:rsid w:val="00C26BE5"/>
    <w:rsid w:val="00C26E4D"/>
    <w:rsid w:val="00C27909"/>
    <w:rsid w:val="00C27B03"/>
    <w:rsid w:val="00C314E1"/>
    <w:rsid w:val="00C34397"/>
    <w:rsid w:val="00C35D68"/>
    <w:rsid w:val="00C4095D"/>
    <w:rsid w:val="00C4301F"/>
    <w:rsid w:val="00C601D2"/>
    <w:rsid w:val="00C657AB"/>
    <w:rsid w:val="00C65BCC"/>
    <w:rsid w:val="00C66970"/>
    <w:rsid w:val="00C74507"/>
    <w:rsid w:val="00C77C96"/>
    <w:rsid w:val="00C85274"/>
    <w:rsid w:val="00C8691C"/>
    <w:rsid w:val="00CA168A"/>
    <w:rsid w:val="00CA357E"/>
    <w:rsid w:val="00CA44F9"/>
    <w:rsid w:val="00CA4A69"/>
    <w:rsid w:val="00CA733B"/>
    <w:rsid w:val="00CB70E9"/>
    <w:rsid w:val="00CC0565"/>
    <w:rsid w:val="00CC32FD"/>
    <w:rsid w:val="00CC3E0C"/>
    <w:rsid w:val="00CC58D3"/>
    <w:rsid w:val="00CC784D"/>
    <w:rsid w:val="00CD08E4"/>
    <w:rsid w:val="00CD473C"/>
    <w:rsid w:val="00CD490D"/>
    <w:rsid w:val="00CE0CC5"/>
    <w:rsid w:val="00CF0719"/>
    <w:rsid w:val="00D01467"/>
    <w:rsid w:val="00D0337B"/>
    <w:rsid w:val="00D06909"/>
    <w:rsid w:val="00D079B2"/>
    <w:rsid w:val="00D114E9"/>
    <w:rsid w:val="00D20AB4"/>
    <w:rsid w:val="00D34CF3"/>
    <w:rsid w:val="00D429C6"/>
    <w:rsid w:val="00D47748"/>
    <w:rsid w:val="00D54CC3"/>
    <w:rsid w:val="00D6041A"/>
    <w:rsid w:val="00D62E21"/>
    <w:rsid w:val="00D633EB"/>
    <w:rsid w:val="00D82FF7"/>
    <w:rsid w:val="00D847FE"/>
    <w:rsid w:val="00D93713"/>
    <w:rsid w:val="00D964EA"/>
    <w:rsid w:val="00D966D0"/>
    <w:rsid w:val="00DA0C59"/>
    <w:rsid w:val="00DA3991"/>
    <w:rsid w:val="00DA6037"/>
    <w:rsid w:val="00DB7E6C"/>
    <w:rsid w:val="00DD00DF"/>
    <w:rsid w:val="00DD3E5C"/>
    <w:rsid w:val="00DD5A29"/>
    <w:rsid w:val="00DD5D9D"/>
    <w:rsid w:val="00DD62D5"/>
    <w:rsid w:val="00DD77F1"/>
    <w:rsid w:val="00DE0728"/>
    <w:rsid w:val="00DE35CB"/>
    <w:rsid w:val="00DF21E9"/>
    <w:rsid w:val="00E00F14"/>
    <w:rsid w:val="00E06386"/>
    <w:rsid w:val="00E24EB4"/>
    <w:rsid w:val="00E320ED"/>
    <w:rsid w:val="00E33AFB"/>
    <w:rsid w:val="00E34218"/>
    <w:rsid w:val="00E42983"/>
    <w:rsid w:val="00E46282"/>
    <w:rsid w:val="00E5216E"/>
    <w:rsid w:val="00E5799B"/>
    <w:rsid w:val="00E63F66"/>
    <w:rsid w:val="00E82344"/>
    <w:rsid w:val="00E84B1C"/>
    <w:rsid w:val="00E84C82"/>
    <w:rsid w:val="00E84D64"/>
    <w:rsid w:val="00E87408"/>
    <w:rsid w:val="00E914C4"/>
    <w:rsid w:val="00E924D4"/>
    <w:rsid w:val="00E93456"/>
    <w:rsid w:val="00E934F5"/>
    <w:rsid w:val="00E96961"/>
    <w:rsid w:val="00EA72EC"/>
    <w:rsid w:val="00EB11CB"/>
    <w:rsid w:val="00EB275A"/>
    <w:rsid w:val="00EB786A"/>
    <w:rsid w:val="00EB790B"/>
    <w:rsid w:val="00EC1578"/>
    <w:rsid w:val="00EC1C72"/>
    <w:rsid w:val="00EC3CC9"/>
    <w:rsid w:val="00EC680A"/>
    <w:rsid w:val="00EE2BED"/>
    <w:rsid w:val="00EE374B"/>
    <w:rsid w:val="00EF102A"/>
    <w:rsid w:val="00EF2D92"/>
    <w:rsid w:val="00F0455E"/>
    <w:rsid w:val="00F11BB5"/>
    <w:rsid w:val="00F1417B"/>
    <w:rsid w:val="00F33FD2"/>
    <w:rsid w:val="00F34B99"/>
    <w:rsid w:val="00F352A9"/>
    <w:rsid w:val="00F52DAB"/>
    <w:rsid w:val="00F543F0"/>
    <w:rsid w:val="00F65DFF"/>
    <w:rsid w:val="00F81D29"/>
    <w:rsid w:val="00F91612"/>
    <w:rsid w:val="00F91C4D"/>
    <w:rsid w:val="00F92FD9"/>
    <w:rsid w:val="00FA2BB6"/>
    <w:rsid w:val="00FA6684"/>
    <w:rsid w:val="00FA731E"/>
    <w:rsid w:val="00FB2870"/>
    <w:rsid w:val="00FB2B38"/>
    <w:rsid w:val="00FC6358"/>
    <w:rsid w:val="00FD25A7"/>
    <w:rsid w:val="00FD320D"/>
    <w:rsid w:val="00FE1414"/>
    <w:rsid w:val="00FE23DE"/>
    <w:rsid w:val="02353A89"/>
    <w:rsid w:val="02AC35A7"/>
    <w:rsid w:val="02F474A0"/>
    <w:rsid w:val="03EA5B4F"/>
    <w:rsid w:val="04F05A45"/>
    <w:rsid w:val="09D9188B"/>
    <w:rsid w:val="0B48505B"/>
    <w:rsid w:val="0E374931"/>
    <w:rsid w:val="10984258"/>
    <w:rsid w:val="119263D1"/>
    <w:rsid w:val="12B97DBE"/>
    <w:rsid w:val="16683FED"/>
    <w:rsid w:val="166873F5"/>
    <w:rsid w:val="18552337"/>
    <w:rsid w:val="1FCB040A"/>
    <w:rsid w:val="24F86C63"/>
    <w:rsid w:val="2613140A"/>
    <w:rsid w:val="281C69CE"/>
    <w:rsid w:val="2C152E78"/>
    <w:rsid w:val="2E782484"/>
    <w:rsid w:val="31807FCD"/>
    <w:rsid w:val="323D1A1A"/>
    <w:rsid w:val="324C35DF"/>
    <w:rsid w:val="32B67A1F"/>
    <w:rsid w:val="32C97752"/>
    <w:rsid w:val="338D077F"/>
    <w:rsid w:val="35C30449"/>
    <w:rsid w:val="38293A16"/>
    <w:rsid w:val="38C20DA3"/>
    <w:rsid w:val="3CCB0BE1"/>
    <w:rsid w:val="41434B73"/>
    <w:rsid w:val="417D62D7"/>
    <w:rsid w:val="43A075A0"/>
    <w:rsid w:val="45B91787"/>
    <w:rsid w:val="46A059C2"/>
    <w:rsid w:val="4AFD2237"/>
    <w:rsid w:val="4F674E52"/>
    <w:rsid w:val="4F8478BD"/>
    <w:rsid w:val="50947199"/>
    <w:rsid w:val="519D207E"/>
    <w:rsid w:val="5587107B"/>
    <w:rsid w:val="5E990A9E"/>
    <w:rsid w:val="5F070AB1"/>
    <w:rsid w:val="603A251E"/>
    <w:rsid w:val="60683D26"/>
    <w:rsid w:val="61252088"/>
    <w:rsid w:val="64630F05"/>
    <w:rsid w:val="66491E69"/>
    <w:rsid w:val="68EA1D44"/>
    <w:rsid w:val="6AEA7C8A"/>
    <w:rsid w:val="6B567508"/>
    <w:rsid w:val="6E8A44BD"/>
    <w:rsid w:val="71B27028"/>
    <w:rsid w:val="74D3178F"/>
    <w:rsid w:val="75370672"/>
    <w:rsid w:val="76350942"/>
    <w:rsid w:val="76EE3833"/>
    <w:rsid w:val="7B095F0A"/>
    <w:rsid w:val="7F380428"/>
    <w:rsid w:val="7F3948E4"/>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qFormat="1" w:unhideWhenUsed="0" w:uiPriority="99" w:semiHidden="0" w:name="index 1"/>
    <w:lsdException w:qFormat="1" w:unhideWhenUsed="0" w:uiPriority="99" w:semiHidden="0" w:name="index 2"/>
    <w:lsdException w:qFormat="1" w:unhideWhenUsed="0" w:uiPriority="99" w:semiHidden="0" w:name="index 3"/>
    <w:lsdException w:qFormat="1" w:unhideWhenUsed="0" w:uiPriority="99" w:semiHidden="0" w:name="index 4"/>
    <w:lsdException w:qFormat="1" w:unhideWhenUsed="0" w:uiPriority="99" w:semiHidden="0" w:name="index 5"/>
    <w:lsdException w:qFormat="1" w:unhideWhenUsed="0" w:uiPriority="99" w:semiHidden="0" w:name="index 6"/>
    <w:lsdException w:qFormat="1" w:unhideWhenUsed="0" w:uiPriority="99" w:semiHidden="0" w:name="index 7"/>
    <w:lsdException w:qFormat="1" w:unhideWhenUsed="0" w:uiPriority="99" w:semiHidden="0" w:name="index 8"/>
    <w:lsdException w:qFormat="1" w:unhideWhenUsed="0" w:uiPriority="99" w:semiHidden="0" w:name="index 9"/>
    <w:lsdException w:qFormat="1" w:unhideWhenUsed="0" w:uiPriority="99" w:name="toc 1"/>
    <w:lsdException w:qFormat="1" w:unhideWhenUsed="0" w:uiPriority="99" w:name="toc 2"/>
    <w:lsdException w:qFormat="1" w:unhideWhenUsed="0" w:uiPriority="99"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uiPriority="99" w:name="Normal Indent"/>
    <w:lsdException w:qFormat="1" w:unhideWhenUsed="0" w:uiPriority="99" w:semiHidden="0" w:name="footnote text"/>
    <w:lsdException w:uiPriority="99" w:name="annotation text"/>
    <w:lsdException w:qFormat="1" w:unhideWhenUsed="0" w:uiPriority="99" w:semiHidden="0" w:name="header"/>
    <w:lsdException w:qFormat="1" w:unhideWhenUsed="0" w:uiPriority="99" w:semiHidden="0" w:name="footer"/>
    <w:lsdException w:qFormat="1" w:unhideWhenUsed="0" w:uiPriority="99" w:semiHidden="0" w:name="index heading"/>
    <w:lsdException w:qFormat="1" w:unhideWhenUsed="0" w:uiPriority="99" w:semiHidden="0" w:name="caption"/>
    <w:lsdException w:uiPriority="99" w:name="table of figures"/>
    <w:lsdException w:uiPriority="99" w:name="envelope address"/>
    <w:lsdException w:uiPriority="99" w:name="envelope return"/>
    <w:lsdException w:qFormat="1" w:unhideWhenUsed="0" w:uiPriority="99" w:name="footnote reference"/>
    <w:lsdException w:uiPriority="99" w:name="annotation reference"/>
    <w:lsdException w:uiPriority="99" w:name="line number"/>
    <w:lsdException w:qFormat="1" w:unhideWhenUsed="0" w:uiPriority="99" w:semiHidden="0" w:name="page number"/>
    <w:lsdException w:qFormat="1" w:unhideWhenUsed="0" w:uiPriority="99" w:name="endnote reference"/>
    <w:lsdException w:qFormat="1" w:unhideWhenUsed="0"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99" w:semiHidden="0" w:name="FollowedHyperlink"/>
    <w:lsdException w:qFormat="1" w:unhideWhenUsed="0" w:uiPriority="0" w:semiHidden="0" w:name="Strong" w:locked="1"/>
    <w:lsdException w:qFormat="1" w:unhideWhenUsed="0" w:uiPriority="99" w:semiHidden="0" w:name="Emphasis"/>
    <w:lsdException w:qFormat="1" w:unhideWhenUsed="0"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1"/>
    <w:qFormat/>
    <w:uiPriority w:val="99"/>
    <w:pPr>
      <w:keepNext/>
      <w:keepLines/>
      <w:spacing w:before="340" w:after="330" w:line="578" w:lineRule="auto"/>
      <w:outlineLvl w:val="0"/>
    </w:pPr>
    <w:rPr>
      <w:b/>
      <w:bCs/>
      <w:kern w:val="44"/>
      <w:sz w:val="44"/>
      <w:szCs w:val="44"/>
    </w:rPr>
  </w:style>
  <w:style w:type="paragraph" w:styleId="3">
    <w:name w:val="heading 2"/>
    <w:basedOn w:val="1"/>
    <w:next w:val="1"/>
    <w:link w:val="42"/>
    <w:qFormat/>
    <w:uiPriority w:val="99"/>
    <w:pPr>
      <w:keepNext/>
      <w:keepLines/>
      <w:spacing w:before="260" w:after="260" w:line="416" w:lineRule="auto"/>
      <w:outlineLvl w:val="1"/>
    </w:pPr>
    <w:rPr>
      <w:rFonts w:ascii="Cambria" w:hAnsi="Cambria"/>
      <w:b/>
      <w:bCs/>
      <w:sz w:val="32"/>
      <w:szCs w:val="32"/>
    </w:rPr>
  </w:style>
  <w:style w:type="character" w:default="1" w:styleId="34">
    <w:name w:val="Default Paragraph Font"/>
    <w:semiHidden/>
    <w:unhideWhenUsed/>
    <w:uiPriority w:val="1"/>
  </w:style>
  <w:style w:type="table" w:default="1" w:styleId="32">
    <w:name w:val="Normal Table"/>
    <w:semiHidden/>
    <w:unhideWhenUsed/>
    <w:uiPriority w:val="99"/>
    <w:tblPr>
      <w:tblCellMar>
        <w:top w:w="0" w:type="dxa"/>
        <w:left w:w="108" w:type="dxa"/>
        <w:bottom w:w="0" w:type="dxa"/>
        <w:right w:w="108" w:type="dxa"/>
      </w:tblCellMar>
    </w:tblPr>
  </w:style>
  <w:style w:type="paragraph" w:styleId="4">
    <w:name w:val="toc 7"/>
    <w:basedOn w:val="1"/>
    <w:next w:val="1"/>
    <w:semiHidden/>
    <w:qFormat/>
    <w:uiPriority w:val="99"/>
    <w:pPr>
      <w:tabs>
        <w:tab w:val="right" w:leader="dot" w:pos="9241"/>
      </w:tabs>
      <w:ind w:firstLine="500" w:firstLineChars="500"/>
      <w:jc w:val="left"/>
    </w:pPr>
    <w:rPr>
      <w:rFonts w:ascii="宋体"/>
      <w:szCs w:val="21"/>
    </w:rPr>
  </w:style>
  <w:style w:type="paragraph" w:styleId="5">
    <w:name w:val="index 8"/>
    <w:basedOn w:val="1"/>
    <w:next w:val="1"/>
    <w:qFormat/>
    <w:uiPriority w:val="99"/>
    <w:pPr>
      <w:ind w:left="1680" w:hanging="210"/>
      <w:jc w:val="left"/>
    </w:pPr>
    <w:rPr>
      <w:rFonts w:ascii="Calibri" w:hAnsi="Calibri"/>
      <w:sz w:val="20"/>
      <w:szCs w:val="20"/>
    </w:rPr>
  </w:style>
  <w:style w:type="paragraph" w:styleId="6">
    <w:name w:val="caption"/>
    <w:basedOn w:val="1"/>
    <w:next w:val="1"/>
    <w:qFormat/>
    <w:uiPriority w:val="99"/>
    <w:pPr>
      <w:spacing w:before="152" w:after="160"/>
    </w:pPr>
    <w:rPr>
      <w:rFonts w:ascii="Arial" w:hAnsi="Arial" w:eastAsia="黑体" w:cs="Arial"/>
      <w:sz w:val="20"/>
      <w:szCs w:val="20"/>
    </w:rPr>
  </w:style>
  <w:style w:type="paragraph" w:styleId="7">
    <w:name w:val="index 5"/>
    <w:basedOn w:val="1"/>
    <w:next w:val="1"/>
    <w:qFormat/>
    <w:uiPriority w:val="99"/>
    <w:pPr>
      <w:ind w:left="1050" w:hanging="210"/>
      <w:jc w:val="left"/>
    </w:pPr>
    <w:rPr>
      <w:rFonts w:ascii="Calibri" w:hAnsi="Calibri"/>
      <w:sz w:val="20"/>
      <w:szCs w:val="20"/>
    </w:rPr>
  </w:style>
  <w:style w:type="paragraph" w:styleId="8">
    <w:name w:val="Document Map"/>
    <w:basedOn w:val="1"/>
    <w:link w:val="129"/>
    <w:semiHidden/>
    <w:qFormat/>
    <w:uiPriority w:val="99"/>
    <w:pPr>
      <w:shd w:val="clear" w:color="auto" w:fill="000080"/>
    </w:pPr>
  </w:style>
  <w:style w:type="paragraph" w:styleId="9">
    <w:name w:val="index 6"/>
    <w:basedOn w:val="1"/>
    <w:next w:val="1"/>
    <w:qFormat/>
    <w:uiPriority w:val="99"/>
    <w:pPr>
      <w:ind w:left="1260" w:hanging="210"/>
      <w:jc w:val="left"/>
    </w:pPr>
    <w:rPr>
      <w:rFonts w:ascii="Calibri" w:hAnsi="Calibri"/>
      <w:sz w:val="20"/>
      <w:szCs w:val="20"/>
    </w:rPr>
  </w:style>
  <w:style w:type="paragraph" w:styleId="10">
    <w:name w:val="index 4"/>
    <w:basedOn w:val="1"/>
    <w:next w:val="1"/>
    <w:qFormat/>
    <w:uiPriority w:val="99"/>
    <w:pPr>
      <w:ind w:left="840" w:hanging="210"/>
      <w:jc w:val="left"/>
    </w:pPr>
    <w:rPr>
      <w:rFonts w:ascii="Calibri" w:hAnsi="Calibri"/>
      <w:sz w:val="20"/>
      <w:szCs w:val="20"/>
    </w:rPr>
  </w:style>
  <w:style w:type="paragraph" w:styleId="11">
    <w:name w:val="toc 5"/>
    <w:basedOn w:val="1"/>
    <w:next w:val="1"/>
    <w:semiHidden/>
    <w:qFormat/>
    <w:uiPriority w:val="99"/>
    <w:pPr>
      <w:tabs>
        <w:tab w:val="right" w:leader="dot" w:pos="9241"/>
      </w:tabs>
      <w:ind w:firstLine="300" w:firstLineChars="300"/>
      <w:jc w:val="left"/>
    </w:pPr>
    <w:rPr>
      <w:rFonts w:ascii="宋体"/>
      <w:szCs w:val="21"/>
    </w:rPr>
  </w:style>
  <w:style w:type="paragraph" w:styleId="12">
    <w:name w:val="toc 3"/>
    <w:basedOn w:val="1"/>
    <w:next w:val="1"/>
    <w:semiHidden/>
    <w:qFormat/>
    <w:uiPriority w:val="99"/>
    <w:pPr>
      <w:tabs>
        <w:tab w:val="right" w:leader="dot" w:pos="9241"/>
      </w:tabs>
      <w:ind w:firstLine="100" w:firstLineChars="100"/>
      <w:jc w:val="left"/>
    </w:pPr>
    <w:rPr>
      <w:rFonts w:ascii="宋体"/>
      <w:szCs w:val="21"/>
    </w:rPr>
  </w:style>
  <w:style w:type="paragraph" w:styleId="13">
    <w:name w:val="toc 8"/>
    <w:basedOn w:val="1"/>
    <w:next w:val="1"/>
    <w:semiHidden/>
    <w:qFormat/>
    <w:uiPriority w:val="99"/>
    <w:pPr>
      <w:tabs>
        <w:tab w:val="right" w:leader="dot" w:pos="9241"/>
      </w:tabs>
      <w:ind w:firstLine="607" w:firstLineChars="600"/>
      <w:jc w:val="left"/>
    </w:pPr>
    <w:rPr>
      <w:rFonts w:ascii="宋体"/>
      <w:szCs w:val="21"/>
    </w:rPr>
  </w:style>
  <w:style w:type="paragraph" w:styleId="14">
    <w:name w:val="index 3"/>
    <w:basedOn w:val="1"/>
    <w:next w:val="1"/>
    <w:qFormat/>
    <w:uiPriority w:val="99"/>
    <w:pPr>
      <w:ind w:left="630" w:hanging="210"/>
      <w:jc w:val="left"/>
    </w:pPr>
    <w:rPr>
      <w:rFonts w:ascii="Calibri" w:hAnsi="Calibri"/>
      <w:sz w:val="20"/>
      <w:szCs w:val="20"/>
    </w:rPr>
  </w:style>
  <w:style w:type="paragraph" w:styleId="15">
    <w:name w:val="endnote text"/>
    <w:basedOn w:val="1"/>
    <w:link w:val="128"/>
    <w:semiHidden/>
    <w:qFormat/>
    <w:uiPriority w:val="99"/>
    <w:pPr>
      <w:snapToGrid w:val="0"/>
      <w:jc w:val="left"/>
    </w:pPr>
  </w:style>
  <w:style w:type="paragraph" w:styleId="16">
    <w:name w:val="Balloon Text"/>
    <w:basedOn w:val="1"/>
    <w:link w:val="148"/>
    <w:semiHidden/>
    <w:qFormat/>
    <w:uiPriority w:val="99"/>
    <w:rPr>
      <w:sz w:val="18"/>
      <w:szCs w:val="18"/>
    </w:rPr>
  </w:style>
  <w:style w:type="paragraph" w:styleId="17">
    <w:name w:val="footer"/>
    <w:basedOn w:val="1"/>
    <w:link w:val="59"/>
    <w:qFormat/>
    <w:uiPriority w:val="99"/>
    <w:pPr>
      <w:snapToGrid w:val="0"/>
      <w:ind w:right="210" w:rightChars="100"/>
      <w:jc w:val="right"/>
    </w:pPr>
    <w:rPr>
      <w:sz w:val="18"/>
      <w:szCs w:val="18"/>
    </w:rPr>
  </w:style>
  <w:style w:type="paragraph" w:styleId="18">
    <w:name w:val="header"/>
    <w:basedOn w:val="1"/>
    <w:link w:val="60"/>
    <w:qFormat/>
    <w:uiPriority w:val="99"/>
    <w:pPr>
      <w:snapToGrid w:val="0"/>
      <w:jc w:val="left"/>
    </w:pPr>
    <w:rPr>
      <w:sz w:val="18"/>
      <w:szCs w:val="18"/>
    </w:rPr>
  </w:style>
  <w:style w:type="paragraph" w:styleId="19">
    <w:name w:val="toc 1"/>
    <w:basedOn w:val="1"/>
    <w:next w:val="1"/>
    <w:semiHidden/>
    <w:qFormat/>
    <w:uiPriority w:val="99"/>
    <w:pPr>
      <w:tabs>
        <w:tab w:val="right" w:leader="dot" w:pos="9242"/>
      </w:tabs>
      <w:spacing w:beforeLines="25" w:afterLines="25"/>
      <w:jc w:val="left"/>
    </w:pPr>
    <w:rPr>
      <w:rFonts w:ascii="宋体"/>
      <w:szCs w:val="21"/>
    </w:rPr>
  </w:style>
  <w:style w:type="paragraph" w:styleId="20">
    <w:name w:val="toc 4"/>
    <w:basedOn w:val="1"/>
    <w:next w:val="1"/>
    <w:semiHidden/>
    <w:qFormat/>
    <w:uiPriority w:val="99"/>
    <w:pPr>
      <w:tabs>
        <w:tab w:val="right" w:leader="dot" w:pos="9241"/>
      </w:tabs>
      <w:ind w:firstLine="200" w:firstLineChars="200"/>
      <w:jc w:val="left"/>
    </w:pPr>
    <w:rPr>
      <w:rFonts w:ascii="宋体"/>
      <w:szCs w:val="21"/>
    </w:rPr>
  </w:style>
  <w:style w:type="paragraph" w:styleId="21">
    <w:name w:val="index heading"/>
    <w:basedOn w:val="1"/>
    <w:next w:val="22"/>
    <w:qFormat/>
    <w:uiPriority w:val="99"/>
    <w:pPr>
      <w:spacing w:before="120" w:after="120"/>
      <w:jc w:val="center"/>
    </w:pPr>
    <w:rPr>
      <w:rFonts w:ascii="Calibri" w:hAnsi="Calibri"/>
      <w:b/>
      <w:bCs/>
      <w:iCs/>
      <w:szCs w:val="20"/>
    </w:rPr>
  </w:style>
  <w:style w:type="paragraph" w:styleId="22">
    <w:name w:val="index 1"/>
    <w:basedOn w:val="1"/>
    <w:next w:val="23"/>
    <w:qFormat/>
    <w:uiPriority w:val="99"/>
    <w:pPr>
      <w:tabs>
        <w:tab w:val="right" w:leader="dot" w:pos="9299"/>
      </w:tabs>
      <w:jc w:val="left"/>
    </w:pPr>
    <w:rPr>
      <w:rFonts w:ascii="宋体"/>
      <w:szCs w:val="21"/>
    </w:rPr>
  </w:style>
  <w:style w:type="paragraph" w:customStyle="1" w:styleId="23">
    <w:name w:val="段"/>
    <w:link w:val="43"/>
    <w:qFormat/>
    <w:uiPriority w:val="99"/>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styleId="24">
    <w:name w:val="footnote text"/>
    <w:basedOn w:val="1"/>
    <w:link w:val="110"/>
    <w:qFormat/>
    <w:uiPriority w:val="99"/>
    <w:pPr>
      <w:numPr>
        <w:ilvl w:val="0"/>
        <w:numId w:val="1"/>
      </w:numPr>
      <w:snapToGrid w:val="0"/>
      <w:jc w:val="left"/>
    </w:pPr>
    <w:rPr>
      <w:rFonts w:ascii="宋体"/>
      <w:sz w:val="18"/>
      <w:szCs w:val="18"/>
    </w:rPr>
  </w:style>
  <w:style w:type="paragraph" w:styleId="25">
    <w:name w:val="toc 6"/>
    <w:basedOn w:val="1"/>
    <w:next w:val="1"/>
    <w:semiHidden/>
    <w:qFormat/>
    <w:uiPriority w:val="99"/>
    <w:pPr>
      <w:tabs>
        <w:tab w:val="right" w:leader="dot" w:pos="9241"/>
      </w:tabs>
      <w:ind w:firstLine="400" w:firstLineChars="400"/>
      <w:jc w:val="left"/>
    </w:pPr>
    <w:rPr>
      <w:rFonts w:ascii="宋体"/>
      <w:szCs w:val="21"/>
    </w:rPr>
  </w:style>
  <w:style w:type="paragraph" w:styleId="26">
    <w:name w:val="index 7"/>
    <w:basedOn w:val="1"/>
    <w:next w:val="1"/>
    <w:qFormat/>
    <w:uiPriority w:val="99"/>
    <w:pPr>
      <w:ind w:left="1470" w:hanging="210"/>
      <w:jc w:val="left"/>
    </w:pPr>
    <w:rPr>
      <w:rFonts w:ascii="Calibri" w:hAnsi="Calibri"/>
      <w:sz w:val="20"/>
      <w:szCs w:val="20"/>
    </w:rPr>
  </w:style>
  <w:style w:type="paragraph" w:styleId="27">
    <w:name w:val="index 9"/>
    <w:basedOn w:val="1"/>
    <w:next w:val="1"/>
    <w:qFormat/>
    <w:uiPriority w:val="99"/>
    <w:pPr>
      <w:ind w:left="1890" w:hanging="210"/>
      <w:jc w:val="left"/>
    </w:pPr>
    <w:rPr>
      <w:rFonts w:ascii="Calibri" w:hAnsi="Calibri"/>
      <w:sz w:val="20"/>
      <w:szCs w:val="20"/>
    </w:rPr>
  </w:style>
  <w:style w:type="paragraph" w:styleId="28">
    <w:name w:val="toc 2"/>
    <w:basedOn w:val="1"/>
    <w:next w:val="1"/>
    <w:semiHidden/>
    <w:qFormat/>
    <w:uiPriority w:val="99"/>
    <w:pPr>
      <w:tabs>
        <w:tab w:val="right" w:leader="dot" w:pos="9242"/>
      </w:tabs>
    </w:pPr>
    <w:rPr>
      <w:rFonts w:ascii="宋体"/>
      <w:szCs w:val="21"/>
    </w:rPr>
  </w:style>
  <w:style w:type="paragraph" w:styleId="29">
    <w:name w:val="toc 9"/>
    <w:basedOn w:val="1"/>
    <w:next w:val="1"/>
    <w:semiHidden/>
    <w:qFormat/>
    <w:uiPriority w:val="99"/>
    <w:pPr>
      <w:ind w:left="1470"/>
      <w:jc w:val="left"/>
    </w:pPr>
    <w:rPr>
      <w:sz w:val="20"/>
      <w:szCs w:val="20"/>
    </w:rPr>
  </w:style>
  <w:style w:type="paragraph" w:styleId="30">
    <w:name w:val="Normal (Web)"/>
    <w:basedOn w:val="1"/>
    <w:qFormat/>
    <w:uiPriority w:val="0"/>
    <w:rPr>
      <w:sz w:val="24"/>
    </w:rPr>
  </w:style>
  <w:style w:type="paragraph" w:styleId="31">
    <w:name w:val="index 2"/>
    <w:basedOn w:val="1"/>
    <w:next w:val="1"/>
    <w:qFormat/>
    <w:uiPriority w:val="99"/>
    <w:pPr>
      <w:ind w:left="420" w:hanging="210"/>
      <w:jc w:val="left"/>
    </w:pPr>
    <w:rPr>
      <w:rFonts w:ascii="Calibri" w:hAnsi="Calibri"/>
      <w:sz w:val="20"/>
      <w:szCs w:val="20"/>
    </w:rPr>
  </w:style>
  <w:style w:type="table" w:styleId="33">
    <w:name w:val="Table Grid"/>
    <w:basedOn w:val="32"/>
    <w:qFormat/>
    <w:uiPriority w:val="9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5">
    <w:name w:val="endnote reference"/>
    <w:basedOn w:val="34"/>
    <w:semiHidden/>
    <w:qFormat/>
    <w:uiPriority w:val="99"/>
    <w:rPr>
      <w:rFonts w:cs="Times New Roman"/>
      <w:vertAlign w:val="superscript"/>
    </w:rPr>
  </w:style>
  <w:style w:type="character" w:styleId="36">
    <w:name w:val="page number"/>
    <w:basedOn w:val="34"/>
    <w:qFormat/>
    <w:uiPriority w:val="99"/>
    <w:rPr>
      <w:rFonts w:ascii="Times New Roman" w:hAnsi="Times New Roman" w:eastAsia="宋体" w:cs="Times New Roman"/>
      <w:sz w:val="18"/>
    </w:rPr>
  </w:style>
  <w:style w:type="character" w:styleId="37">
    <w:name w:val="FollowedHyperlink"/>
    <w:basedOn w:val="34"/>
    <w:qFormat/>
    <w:uiPriority w:val="99"/>
    <w:rPr>
      <w:rFonts w:cs="Times New Roman"/>
      <w:color w:val="800080"/>
      <w:u w:val="single"/>
    </w:rPr>
  </w:style>
  <w:style w:type="character" w:styleId="38">
    <w:name w:val="Emphasis"/>
    <w:basedOn w:val="34"/>
    <w:qFormat/>
    <w:uiPriority w:val="99"/>
    <w:rPr>
      <w:rFonts w:cs="Times New Roman"/>
      <w:i/>
      <w:iCs/>
    </w:rPr>
  </w:style>
  <w:style w:type="character" w:styleId="39">
    <w:name w:val="Hyperlink"/>
    <w:basedOn w:val="34"/>
    <w:qFormat/>
    <w:uiPriority w:val="99"/>
    <w:rPr>
      <w:rFonts w:cs="Times New Roman"/>
      <w:color w:val="0000FF"/>
      <w:spacing w:val="0"/>
      <w:w w:val="100"/>
      <w:sz w:val="21"/>
      <w:szCs w:val="21"/>
      <w:u w:val="single"/>
    </w:rPr>
  </w:style>
  <w:style w:type="character" w:styleId="40">
    <w:name w:val="footnote reference"/>
    <w:basedOn w:val="34"/>
    <w:semiHidden/>
    <w:qFormat/>
    <w:uiPriority w:val="99"/>
    <w:rPr>
      <w:rFonts w:cs="Times New Roman"/>
      <w:vertAlign w:val="superscript"/>
    </w:rPr>
  </w:style>
  <w:style w:type="character" w:customStyle="1" w:styleId="41">
    <w:name w:val="标题 1字符"/>
    <w:basedOn w:val="34"/>
    <w:link w:val="2"/>
    <w:qFormat/>
    <w:locked/>
    <w:uiPriority w:val="99"/>
    <w:rPr>
      <w:rFonts w:cs="Times New Roman"/>
      <w:b/>
      <w:bCs/>
      <w:kern w:val="44"/>
      <w:sz w:val="44"/>
      <w:szCs w:val="44"/>
    </w:rPr>
  </w:style>
  <w:style w:type="character" w:customStyle="1" w:styleId="42">
    <w:name w:val="标题 2字符"/>
    <w:basedOn w:val="34"/>
    <w:link w:val="3"/>
    <w:semiHidden/>
    <w:qFormat/>
    <w:locked/>
    <w:uiPriority w:val="99"/>
    <w:rPr>
      <w:rFonts w:ascii="Cambria" w:hAnsi="Cambria" w:eastAsia="宋体" w:cs="Times New Roman"/>
      <w:b/>
      <w:bCs/>
      <w:kern w:val="2"/>
      <w:sz w:val="32"/>
      <w:szCs w:val="32"/>
      <w:lang w:val="en-US" w:eastAsia="zh-CN" w:bidi="ar-SA"/>
    </w:rPr>
  </w:style>
  <w:style w:type="character" w:customStyle="1" w:styleId="43">
    <w:name w:val="段 Char"/>
    <w:basedOn w:val="34"/>
    <w:link w:val="23"/>
    <w:qFormat/>
    <w:locked/>
    <w:uiPriority w:val="99"/>
    <w:rPr>
      <w:rFonts w:ascii="宋体"/>
      <w:sz w:val="21"/>
      <w:lang w:val="en-US" w:eastAsia="zh-CN" w:bidi="ar-SA"/>
    </w:rPr>
  </w:style>
  <w:style w:type="paragraph" w:customStyle="1" w:styleId="44">
    <w:name w:val="一级条标题"/>
    <w:next w:val="23"/>
    <w:qFormat/>
    <w:uiPriority w:val="99"/>
    <w:pPr>
      <w:numPr>
        <w:ilvl w:val="1"/>
        <w:numId w:val="2"/>
      </w:numPr>
      <w:spacing w:beforeLines="50" w:afterLines="50"/>
      <w:outlineLvl w:val="2"/>
    </w:pPr>
    <w:rPr>
      <w:rFonts w:ascii="黑体" w:hAnsi="Times New Roman" w:eastAsia="黑体" w:cs="Times New Roman"/>
      <w:sz w:val="21"/>
      <w:szCs w:val="21"/>
      <w:lang w:val="en-US" w:eastAsia="zh-CN" w:bidi="ar-SA"/>
    </w:rPr>
  </w:style>
  <w:style w:type="paragraph" w:customStyle="1" w:styleId="45">
    <w:name w:val="标准书脚_奇数页"/>
    <w:qFormat/>
    <w:uiPriority w:val="99"/>
    <w:pPr>
      <w:spacing w:before="120"/>
      <w:ind w:right="198"/>
      <w:jc w:val="right"/>
    </w:pPr>
    <w:rPr>
      <w:rFonts w:ascii="宋体" w:hAnsi="Times New Roman" w:eastAsia="宋体" w:cs="Times New Roman"/>
      <w:sz w:val="18"/>
      <w:szCs w:val="18"/>
      <w:lang w:val="en-US" w:eastAsia="zh-CN" w:bidi="ar-SA"/>
    </w:rPr>
  </w:style>
  <w:style w:type="paragraph" w:customStyle="1" w:styleId="46">
    <w:name w:val="标准书眉_奇数页"/>
    <w:next w:val="1"/>
    <w:qFormat/>
    <w:uiPriority w:val="99"/>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47">
    <w:name w:val="章标题"/>
    <w:next w:val="23"/>
    <w:qFormat/>
    <w:uiPriority w:val="99"/>
    <w:pPr>
      <w:numPr>
        <w:ilvl w:val="0"/>
        <w:numId w:val="2"/>
      </w:numPr>
      <w:spacing w:beforeLines="100" w:afterLines="100"/>
      <w:jc w:val="both"/>
      <w:outlineLvl w:val="1"/>
    </w:pPr>
    <w:rPr>
      <w:rFonts w:ascii="黑体" w:hAnsi="Times New Roman" w:eastAsia="黑体" w:cs="Times New Roman"/>
      <w:sz w:val="21"/>
      <w:lang w:val="en-US" w:eastAsia="zh-CN" w:bidi="ar-SA"/>
    </w:rPr>
  </w:style>
  <w:style w:type="paragraph" w:customStyle="1" w:styleId="48">
    <w:name w:val="二级条标题"/>
    <w:basedOn w:val="44"/>
    <w:next w:val="23"/>
    <w:qFormat/>
    <w:uiPriority w:val="99"/>
    <w:pPr>
      <w:numPr>
        <w:ilvl w:val="2"/>
      </w:numPr>
      <w:spacing w:before="50" w:after="50"/>
      <w:outlineLvl w:val="3"/>
    </w:pPr>
  </w:style>
  <w:style w:type="paragraph" w:customStyle="1" w:styleId="49">
    <w:name w:val="封面标准号2"/>
    <w:qFormat/>
    <w:uiPriority w:val="99"/>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paragraph" w:customStyle="1" w:styleId="50">
    <w:name w:val="列项——（一级）"/>
    <w:qFormat/>
    <w:uiPriority w:val="99"/>
    <w:pPr>
      <w:widowControl w:val="0"/>
      <w:numPr>
        <w:ilvl w:val="0"/>
        <w:numId w:val="3"/>
      </w:numPr>
      <w:jc w:val="both"/>
    </w:pPr>
    <w:rPr>
      <w:rFonts w:ascii="宋体" w:hAnsi="Times New Roman" w:eastAsia="宋体" w:cs="Times New Roman"/>
      <w:sz w:val="21"/>
      <w:lang w:val="en-US" w:eastAsia="zh-CN" w:bidi="ar-SA"/>
    </w:rPr>
  </w:style>
  <w:style w:type="paragraph" w:customStyle="1" w:styleId="51">
    <w:name w:val="列项●（二级）"/>
    <w:qFormat/>
    <w:uiPriority w:val="99"/>
    <w:pPr>
      <w:numPr>
        <w:ilvl w:val="1"/>
        <w:numId w:val="3"/>
      </w:numPr>
      <w:tabs>
        <w:tab w:val="left" w:pos="840"/>
      </w:tabs>
      <w:jc w:val="both"/>
    </w:pPr>
    <w:rPr>
      <w:rFonts w:ascii="宋体" w:hAnsi="Times New Roman" w:eastAsia="宋体" w:cs="Times New Roman"/>
      <w:sz w:val="21"/>
      <w:lang w:val="en-US" w:eastAsia="zh-CN" w:bidi="ar-SA"/>
    </w:rPr>
  </w:style>
  <w:style w:type="paragraph" w:customStyle="1" w:styleId="52">
    <w:name w:val="目次、标准名称标题"/>
    <w:basedOn w:val="1"/>
    <w:next w:val="23"/>
    <w:qFormat/>
    <w:uiPriority w:val="99"/>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53">
    <w:name w:val="三级条标题"/>
    <w:basedOn w:val="48"/>
    <w:next w:val="23"/>
    <w:qFormat/>
    <w:uiPriority w:val="99"/>
    <w:pPr>
      <w:numPr>
        <w:ilvl w:val="3"/>
      </w:numPr>
      <w:outlineLvl w:val="4"/>
    </w:pPr>
  </w:style>
  <w:style w:type="paragraph" w:customStyle="1" w:styleId="54">
    <w:name w:val="示例"/>
    <w:next w:val="55"/>
    <w:qFormat/>
    <w:uiPriority w:val="99"/>
    <w:pPr>
      <w:widowControl w:val="0"/>
      <w:ind w:firstLine="363"/>
      <w:jc w:val="both"/>
    </w:pPr>
    <w:rPr>
      <w:rFonts w:ascii="宋体" w:hAnsi="Times New Roman" w:eastAsia="宋体" w:cs="Times New Roman"/>
      <w:sz w:val="18"/>
      <w:szCs w:val="18"/>
      <w:lang w:val="en-US" w:eastAsia="zh-CN" w:bidi="ar-SA"/>
    </w:rPr>
  </w:style>
  <w:style w:type="paragraph" w:customStyle="1" w:styleId="55">
    <w:name w:val="示例内容"/>
    <w:qFormat/>
    <w:uiPriority w:val="99"/>
    <w:pPr>
      <w:ind w:firstLine="200" w:firstLineChars="200"/>
    </w:pPr>
    <w:rPr>
      <w:rFonts w:ascii="宋体" w:hAnsi="Times New Roman" w:eastAsia="宋体" w:cs="Times New Roman"/>
      <w:sz w:val="18"/>
      <w:szCs w:val="18"/>
      <w:lang w:val="en-US" w:eastAsia="zh-CN" w:bidi="ar-SA"/>
    </w:rPr>
  </w:style>
  <w:style w:type="paragraph" w:customStyle="1" w:styleId="56">
    <w:name w:val="数字编号列项（二级）"/>
    <w:qFormat/>
    <w:uiPriority w:val="99"/>
    <w:pPr>
      <w:numPr>
        <w:ilvl w:val="1"/>
        <w:numId w:val="4"/>
      </w:numPr>
      <w:jc w:val="both"/>
    </w:pPr>
    <w:rPr>
      <w:rFonts w:ascii="宋体" w:hAnsi="Times New Roman" w:eastAsia="宋体" w:cs="Times New Roman"/>
      <w:sz w:val="21"/>
      <w:lang w:val="en-US" w:eastAsia="zh-CN" w:bidi="ar-SA"/>
    </w:rPr>
  </w:style>
  <w:style w:type="paragraph" w:customStyle="1" w:styleId="57">
    <w:name w:val="四级条标题"/>
    <w:basedOn w:val="53"/>
    <w:next w:val="23"/>
    <w:qFormat/>
    <w:uiPriority w:val="99"/>
    <w:pPr>
      <w:numPr>
        <w:ilvl w:val="4"/>
      </w:numPr>
      <w:outlineLvl w:val="5"/>
    </w:pPr>
  </w:style>
  <w:style w:type="paragraph" w:customStyle="1" w:styleId="58">
    <w:name w:val="五级条标题"/>
    <w:basedOn w:val="57"/>
    <w:next w:val="23"/>
    <w:qFormat/>
    <w:uiPriority w:val="99"/>
    <w:pPr>
      <w:numPr>
        <w:ilvl w:val="5"/>
      </w:numPr>
      <w:outlineLvl w:val="6"/>
    </w:pPr>
  </w:style>
  <w:style w:type="character" w:customStyle="1" w:styleId="59">
    <w:name w:val="页脚字符"/>
    <w:basedOn w:val="34"/>
    <w:link w:val="17"/>
    <w:semiHidden/>
    <w:qFormat/>
    <w:locked/>
    <w:uiPriority w:val="99"/>
    <w:rPr>
      <w:rFonts w:cs="Times New Roman"/>
      <w:sz w:val="18"/>
      <w:szCs w:val="18"/>
    </w:rPr>
  </w:style>
  <w:style w:type="character" w:customStyle="1" w:styleId="60">
    <w:name w:val="页眉字符"/>
    <w:basedOn w:val="34"/>
    <w:link w:val="18"/>
    <w:semiHidden/>
    <w:qFormat/>
    <w:locked/>
    <w:uiPriority w:val="99"/>
    <w:rPr>
      <w:rFonts w:cs="Times New Roman"/>
      <w:sz w:val="18"/>
      <w:szCs w:val="18"/>
    </w:rPr>
  </w:style>
  <w:style w:type="paragraph" w:customStyle="1" w:styleId="61">
    <w:name w:val="注："/>
    <w:next w:val="23"/>
    <w:qFormat/>
    <w:uiPriority w:val="99"/>
    <w:pPr>
      <w:widowControl w:val="0"/>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62">
    <w:name w:val="注×："/>
    <w:qFormat/>
    <w:uiPriority w:val="99"/>
    <w:pPr>
      <w:widowControl w:val="0"/>
      <w:autoSpaceDE w:val="0"/>
      <w:autoSpaceDN w:val="0"/>
      <w:ind w:left="811" w:hanging="448"/>
      <w:jc w:val="both"/>
    </w:pPr>
    <w:rPr>
      <w:rFonts w:ascii="宋体" w:hAnsi="Times New Roman" w:eastAsia="宋体" w:cs="Times New Roman"/>
      <w:sz w:val="18"/>
      <w:szCs w:val="18"/>
      <w:lang w:val="en-US" w:eastAsia="zh-CN" w:bidi="ar-SA"/>
    </w:rPr>
  </w:style>
  <w:style w:type="paragraph" w:customStyle="1" w:styleId="63">
    <w:name w:val="字母编号列项（一级）"/>
    <w:qFormat/>
    <w:uiPriority w:val="99"/>
    <w:pPr>
      <w:numPr>
        <w:ilvl w:val="0"/>
        <w:numId w:val="4"/>
      </w:numPr>
      <w:jc w:val="both"/>
    </w:pPr>
    <w:rPr>
      <w:rFonts w:ascii="宋体" w:hAnsi="Times New Roman" w:eastAsia="宋体" w:cs="Times New Roman"/>
      <w:sz w:val="21"/>
      <w:lang w:val="en-US" w:eastAsia="zh-CN" w:bidi="ar-SA"/>
    </w:rPr>
  </w:style>
  <w:style w:type="paragraph" w:customStyle="1" w:styleId="64">
    <w:name w:val="列项◆（三级）"/>
    <w:basedOn w:val="1"/>
    <w:qFormat/>
    <w:uiPriority w:val="99"/>
    <w:pPr>
      <w:numPr>
        <w:ilvl w:val="2"/>
        <w:numId w:val="3"/>
      </w:numPr>
    </w:pPr>
    <w:rPr>
      <w:rFonts w:ascii="宋体"/>
      <w:szCs w:val="21"/>
    </w:rPr>
  </w:style>
  <w:style w:type="paragraph" w:customStyle="1" w:styleId="65">
    <w:name w:val="编号列项（三级）"/>
    <w:qFormat/>
    <w:uiPriority w:val="99"/>
    <w:pPr>
      <w:numPr>
        <w:ilvl w:val="2"/>
        <w:numId w:val="4"/>
      </w:numPr>
    </w:pPr>
    <w:rPr>
      <w:rFonts w:ascii="宋体" w:hAnsi="Times New Roman" w:eastAsia="宋体" w:cs="Times New Roman"/>
      <w:sz w:val="21"/>
      <w:lang w:val="en-US" w:eastAsia="zh-CN" w:bidi="ar-SA"/>
    </w:rPr>
  </w:style>
  <w:style w:type="paragraph" w:customStyle="1" w:styleId="66">
    <w:name w:val="示例×："/>
    <w:basedOn w:val="47"/>
    <w:qFormat/>
    <w:uiPriority w:val="99"/>
    <w:pPr>
      <w:numPr>
        <w:numId w:val="0"/>
      </w:numPr>
      <w:spacing w:beforeLines="0" w:afterLines="0"/>
      <w:ind w:firstLine="363"/>
      <w:outlineLvl w:val="9"/>
    </w:pPr>
    <w:rPr>
      <w:rFonts w:ascii="宋体" w:eastAsia="宋体"/>
      <w:sz w:val="18"/>
      <w:szCs w:val="18"/>
    </w:rPr>
  </w:style>
  <w:style w:type="paragraph" w:customStyle="1" w:styleId="67">
    <w:name w:val="二级无"/>
    <w:basedOn w:val="48"/>
    <w:qFormat/>
    <w:uiPriority w:val="99"/>
    <w:pPr>
      <w:spacing w:beforeLines="0" w:afterLines="0"/>
    </w:pPr>
    <w:rPr>
      <w:rFonts w:ascii="宋体" w:eastAsia="宋体"/>
    </w:rPr>
  </w:style>
  <w:style w:type="paragraph" w:customStyle="1" w:styleId="68">
    <w:name w:val="注：（正文）"/>
    <w:basedOn w:val="61"/>
    <w:next w:val="23"/>
    <w:qFormat/>
    <w:uiPriority w:val="99"/>
  </w:style>
  <w:style w:type="paragraph" w:customStyle="1" w:styleId="69">
    <w:name w:val="注×：（正文）"/>
    <w:qFormat/>
    <w:uiPriority w:val="99"/>
    <w:pPr>
      <w:numPr>
        <w:ilvl w:val="0"/>
        <w:numId w:val="5"/>
      </w:numPr>
      <w:jc w:val="both"/>
    </w:pPr>
    <w:rPr>
      <w:rFonts w:ascii="宋体" w:hAnsi="Times New Roman" w:eastAsia="宋体" w:cs="Times New Roman"/>
      <w:sz w:val="18"/>
      <w:szCs w:val="18"/>
      <w:lang w:val="en-US" w:eastAsia="zh-CN" w:bidi="ar-SA"/>
    </w:rPr>
  </w:style>
  <w:style w:type="paragraph" w:customStyle="1" w:styleId="70">
    <w:name w:val="标准标志"/>
    <w:next w:val="1"/>
    <w:qFormat/>
    <w:uiPriority w:val="99"/>
    <w:pPr>
      <w:framePr w:w="2546" w:h="1389" w:hRule="exact" w:hSpace="181" w:vSpace="181" w:wrap="around" w:vAnchor="margin" w:hAnchor="margin" w:x="6522" w:y="398" w:anchorLock="1"/>
      <w:shd w:val="solid" w:color="FFFFFF" w:fill="FFFFFF"/>
      <w:spacing w:line="240" w:lineRule="atLeast"/>
      <w:jc w:val="right"/>
    </w:pPr>
    <w:rPr>
      <w:rFonts w:ascii="Times New Roman" w:hAnsi="Times New Roman" w:eastAsia="宋体" w:cs="Times New Roman"/>
      <w:b/>
      <w:w w:val="170"/>
      <w:sz w:val="96"/>
      <w:szCs w:val="96"/>
      <w:lang w:val="en-US" w:eastAsia="zh-CN" w:bidi="ar-SA"/>
    </w:rPr>
  </w:style>
  <w:style w:type="paragraph" w:customStyle="1" w:styleId="71">
    <w:name w:val="标准称谓"/>
    <w:next w:val="1"/>
    <w:qFormat/>
    <w:uiPriority w:val="99"/>
    <w:pPr>
      <w:framePr w:w="9639" w:h="624" w:hRule="exact" w:hSpace="181" w:vSpace="181" w:wrap="around" w:vAnchor="page" w:hAnchor="page" w:x="1419" w:y="2286" w:anchorLock="1"/>
      <w:widowControl w:val="0"/>
      <w:kinsoku w:val="0"/>
      <w:overflowPunct w:val="0"/>
      <w:autoSpaceDE w:val="0"/>
      <w:autoSpaceDN w:val="0"/>
      <w:spacing w:line="240" w:lineRule="atLeast"/>
      <w:jc w:val="distribute"/>
    </w:pPr>
    <w:rPr>
      <w:rFonts w:ascii="宋体" w:hAnsi="Times New Roman" w:eastAsia="宋体" w:cs="Times New Roman"/>
      <w:b/>
      <w:bCs/>
      <w:spacing w:val="20"/>
      <w:w w:val="148"/>
      <w:sz w:val="48"/>
      <w:lang w:val="en-US" w:eastAsia="zh-CN" w:bidi="ar-SA"/>
    </w:rPr>
  </w:style>
  <w:style w:type="paragraph" w:customStyle="1" w:styleId="72">
    <w:name w:val="标准书脚_偶数页"/>
    <w:qFormat/>
    <w:uiPriority w:val="99"/>
    <w:pPr>
      <w:spacing w:before="120"/>
      <w:ind w:left="221"/>
    </w:pPr>
    <w:rPr>
      <w:rFonts w:ascii="宋体" w:hAnsi="Times New Roman" w:eastAsia="宋体" w:cs="Times New Roman"/>
      <w:sz w:val="18"/>
      <w:szCs w:val="18"/>
      <w:lang w:val="en-US" w:eastAsia="zh-CN" w:bidi="ar-SA"/>
    </w:rPr>
  </w:style>
  <w:style w:type="paragraph" w:customStyle="1" w:styleId="73">
    <w:name w:val="标准书眉_偶数页"/>
    <w:basedOn w:val="46"/>
    <w:next w:val="1"/>
    <w:qFormat/>
    <w:uiPriority w:val="99"/>
    <w:pPr>
      <w:jc w:val="left"/>
    </w:pPr>
  </w:style>
  <w:style w:type="paragraph" w:customStyle="1" w:styleId="74">
    <w:name w:val="标准书眉一"/>
    <w:qFormat/>
    <w:uiPriority w:val="99"/>
    <w:pPr>
      <w:jc w:val="both"/>
    </w:pPr>
    <w:rPr>
      <w:rFonts w:ascii="Times New Roman" w:hAnsi="Times New Roman" w:eastAsia="宋体" w:cs="Times New Roman"/>
      <w:lang w:val="en-US" w:eastAsia="zh-CN" w:bidi="ar-SA"/>
    </w:rPr>
  </w:style>
  <w:style w:type="paragraph" w:customStyle="1" w:styleId="75">
    <w:name w:val="参考文献"/>
    <w:basedOn w:val="1"/>
    <w:next w:val="23"/>
    <w:qFormat/>
    <w:uiPriority w:val="99"/>
    <w:pPr>
      <w:keepNext/>
      <w:pageBreakBefore/>
      <w:widowControl/>
      <w:shd w:val="clear" w:color="FFFFFF" w:fill="FFFFFF"/>
      <w:spacing w:before="640" w:after="200"/>
      <w:jc w:val="center"/>
      <w:outlineLvl w:val="0"/>
    </w:pPr>
    <w:rPr>
      <w:rFonts w:ascii="黑体" w:eastAsia="黑体"/>
      <w:kern w:val="0"/>
      <w:szCs w:val="20"/>
    </w:rPr>
  </w:style>
  <w:style w:type="paragraph" w:customStyle="1" w:styleId="76">
    <w:name w:val="参考文献、索引标题"/>
    <w:basedOn w:val="1"/>
    <w:next w:val="23"/>
    <w:qFormat/>
    <w:uiPriority w:val="99"/>
    <w:pPr>
      <w:keepNext/>
      <w:pageBreakBefore/>
      <w:widowControl/>
      <w:shd w:val="clear" w:color="FFFFFF" w:fill="FFFFFF"/>
      <w:spacing w:before="640" w:after="200"/>
      <w:jc w:val="center"/>
      <w:outlineLvl w:val="0"/>
    </w:pPr>
    <w:rPr>
      <w:rFonts w:ascii="黑体" w:eastAsia="黑体"/>
      <w:kern w:val="0"/>
      <w:szCs w:val="20"/>
    </w:rPr>
  </w:style>
  <w:style w:type="character" w:customStyle="1" w:styleId="77">
    <w:name w:val="发布"/>
    <w:basedOn w:val="34"/>
    <w:qFormat/>
    <w:uiPriority w:val="99"/>
    <w:rPr>
      <w:rFonts w:ascii="黑体" w:eastAsia="黑体" w:cs="Times New Roman"/>
      <w:spacing w:val="85"/>
      <w:w w:val="100"/>
      <w:position w:val="3"/>
      <w:sz w:val="28"/>
      <w:szCs w:val="28"/>
    </w:rPr>
  </w:style>
  <w:style w:type="paragraph" w:customStyle="1" w:styleId="78">
    <w:name w:val="发布部门"/>
    <w:next w:val="23"/>
    <w:qFormat/>
    <w:uiPriority w:val="99"/>
    <w:pPr>
      <w:framePr w:w="7938" w:h="1134" w:hRule="exact" w:hSpace="125" w:vSpace="181" w:wrap="around" w:vAnchor="page" w:hAnchor="page" w:x="2150" w:y="14630" w:anchorLock="1"/>
      <w:jc w:val="center"/>
    </w:pPr>
    <w:rPr>
      <w:rFonts w:ascii="宋体" w:hAnsi="Times New Roman" w:eastAsia="宋体" w:cs="Times New Roman"/>
      <w:b/>
      <w:spacing w:val="20"/>
      <w:w w:val="135"/>
      <w:sz w:val="28"/>
      <w:lang w:val="en-US" w:eastAsia="zh-CN" w:bidi="ar-SA"/>
    </w:rPr>
  </w:style>
  <w:style w:type="paragraph" w:customStyle="1" w:styleId="79">
    <w:name w:val="发布日期"/>
    <w:qFormat/>
    <w:uiPriority w:val="99"/>
    <w:pPr>
      <w:framePr w:w="3997" w:h="471" w:hRule="exact" w:vSpace="181" w:wrap="around" w:vAnchor="margin" w:hAnchor="page" w:x="7089" w:y="14097" w:anchorLock="1"/>
    </w:pPr>
    <w:rPr>
      <w:rFonts w:ascii="Times New Roman" w:hAnsi="Times New Roman" w:eastAsia="黑体" w:cs="Times New Roman"/>
      <w:sz w:val="28"/>
      <w:lang w:val="en-US" w:eastAsia="zh-CN" w:bidi="ar-SA"/>
    </w:rPr>
  </w:style>
  <w:style w:type="paragraph" w:customStyle="1" w:styleId="80">
    <w:name w:val="封面标准代替信息"/>
    <w:qFormat/>
    <w:uiPriority w:val="99"/>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81">
    <w:name w:val="封面标准号1"/>
    <w:qFormat/>
    <w:uiPriority w:val="99"/>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82">
    <w:name w:val="封面标准名称"/>
    <w:qFormat/>
    <w:uiPriority w:val="99"/>
    <w:pPr>
      <w:framePr w:w="9639" w:h="6917" w:hRule="exact" w:wrap="around" w:vAnchor="page" w:hAnchor="page" w:xAlign="center" w:y="6408"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83">
    <w:name w:val="封面标准英文名称"/>
    <w:basedOn w:val="82"/>
    <w:qFormat/>
    <w:uiPriority w:val="99"/>
    <w:pPr>
      <w:framePr w:wrap="around"/>
      <w:spacing w:before="370" w:line="400" w:lineRule="exact"/>
    </w:pPr>
    <w:rPr>
      <w:rFonts w:ascii="Times New Roman"/>
      <w:sz w:val="28"/>
      <w:szCs w:val="28"/>
    </w:rPr>
  </w:style>
  <w:style w:type="paragraph" w:customStyle="1" w:styleId="84">
    <w:name w:val="封面一致性程度标识"/>
    <w:basedOn w:val="83"/>
    <w:qFormat/>
    <w:uiPriority w:val="99"/>
    <w:pPr>
      <w:framePr w:wrap="around"/>
      <w:spacing w:before="440"/>
    </w:pPr>
    <w:rPr>
      <w:rFonts w:ascii="宋体" w:eastAsia="宋体"/>
    </w:rPr>
  </w:style>
  <w:style w:type="paragraph" w:customStyle="1" w:styleId="85">
    <w:name w:val="封面标准文稿类别"/>
    <w:basedOn w:val="84"/>
    <w:qFormat/>
    <w:uiPriority w:val="99"/>
    <w:pPr>
      <w:framePr w:wrap="around"/>
      <w:spacing w:after="160" w:line="240" w:lineRule="auto"/>
    </w:pPr>
    <w:rPr>
      <w:sz w:val="24"/>
    </w:rPr>
  </w:style>
  <w:style w:type="paragraph" w:customStyle="1" w:styleId="86">
    <w:name w:val="封面标准文稿编辑信息"/>
    <w:basedOn w:val="85"/>
    <w:qFormat/>
    <w:uiPriority w:val="99"/>
    <w:pPr>
      <w:framePr w:wrap="around"/>
      <w:spacing w:before="180" w:line="180" w:lineRule="exact"/>
    </w:pPr>
    <w:rPr>
      <w:sz w:val="21"/>
    </w:rPr>
  </w:style>
  <w:style w:type="paragraph" w:customStyle="1" w:styleId="87">
    <w:name w:val="封面正文"/>
    <w:qFormat/>
    <w:uiPriority w:val="99"/>
    <w:pPr>
      <w:jc w:val="both"/>
    </w:pPr>
    <w:rPr>
      <w:rFonts w:ascii="Times New Roman" w:hAnsi="Times New Roman" w:eastAsia="宋体" w:cs="Times New Roman"/>
      <w:lang w:val="en-US" w:eastAsia="zh-CN" w:bidi="ar-SA"/>
    </w:rPr>
  </w:style>
  <w:style w:type="paragraph" w:customStyle="1" w:styleId="88">
    <w:name w:val="附录标识"/>
    <w:basedOn w:val="1"/>
    <w:next w:val="23"/>
    <w:qFormat/>
    <w:uiPriority w:val="99"/>
    <w:pPr>
      <w:keepNext/>
      <w:widowControl/>
      <w:numPr>
        <w:ilvl w:val="0"/>
        <w:numId w:val="6"/>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89">
    <w:name w:val="附录标题"/>
    <w:basedOn w:val="23"/>
    <w:next w:val="23"/>
    <w:qFormat/>
    <w:uiPriority w:val="99"/>
    <w:pPr>
      <w:ind w:firstLine="0" w:firstLineChars="0"/>
      <w:jc w:val="center"/>
    </w:pPr>
    <w:rPr>
      <w:rFonts w:ascii="黑体" w:eastAsia="黑体"/>
    </w:rPr>
  </w:style>
  <w:style w:type="paragraph" w:customStyle="1" w:styleId="90">
    <w:name w:val="附录表标号"/>
    <w:basedOn w:val="1"/>
    <w:next w:val="23"/>
    <w:qFormat/>
    <w:uiPriority w:val="99"/>
    <w:pPr>
      <w:numPr>
        <w:ilvl w:val="0"/>
        <w:numId w:val="7"/>
      </w:numPr>
      <w:tabs>
        <w:tab w:val="clear" w:pos="0"/>
      </w:tabs>
      <w:spacing w:line="14" w:lineRule="exact"/>
      <w:ind w:left="811" w:hanging="448"/>
      <w:jc w:val="center"/>
      <w:outlineLvl w:val="0"/>
    </w:pPr>
    <w:rPr>
      <w:color w:val="FFFFFF"/>
    </w:rPr>
  </w:style>
  <w:style w:type="paragraph" w:customStyle="1" w:styleId="91">
    <w:name w:val="附录表标题"/>
    <w:basedOn w:val="1"/>
    <w:next w:val="23"/>
    <w:qFormat/>
    <w:uiPriority w:val="99"/>
    <w:pPr>
      <w:numPr>
        <w:ilvl w:val="1"/>
        <w:numId w:val="7"/>
      </w:numPr>
      <w:tabs>
        <w:tab w:val="left" w:pos="180"/>
      </w:tabs>
      <w:spacing w:beforeLines="50" w:afterLines="50"/>
      <w:ind w:left="0" w:firstLine="0"/>
      <w:jc w:val="center"/>
    </w:pPr>
    <w:rPr>
      <w:rFonts w:ascii="黑体" w:eastAsia="黑体"/>
      <w:szCs w:val="21"/>
    </w:rPr>
  </w:style>
  <w:style w:type="paragraph" w:customStyle="1" w:styleId="92">
    <w:name w:val="附录二级条标题"/>
    <w:basedOn w:val="1"/>
    <w:next w:val="23"/>
    <w:qFormat/>
    <w:uiPriority w:val="99"/>
    <w:pPr>
      <w:widowControl/>
      <w:numPr>
        <w:ilvl w:val="3"/>
        <w:numId w:val="6"/>
      </w:numPr>
      <w:tabs>
        <w:tab w:val="left" w:pos="360"/>
      </w:tabs>
      <w:wordWrap w:val="0"/>
      <w:overflowPunct w:val="0"/>
      <w:autoSpaceDE w:val="0"/>
      <w:autoSpaceDN w:val="0"/>
      <w:spacing w:beforeLines="50" w:afterLines="50"/>
      <w:textAlignment w:val="baseline"/>
      <w:outlineLvl w:val="3"/>
    </w:pPr>
    <w:rPr>
      <w:rFonts w:ascii="黑体" w:eastAsia="黑体"/>
      <w:kern w:val="21"/>
      <w:szCs w:val="20"/>
    </w:rPr>
  </w:style>
  <w:style w:type="paragraph" w:customStyle="1" w:styleId="93">
    <w:name w:val="附录二级无"/>
    <w:basedOn w:val="92"/>
    <w:qFormat/>
    <w:uiPriority w:val="99"/>
    <w:pPr>
      <w:tabs>
        <w:tab w:val="clear" w:pos="360"/>
      </w:tabs>
      <w:spacing w:beforeLines="0" w:afterLines="0"/>
    </w:pPr>
    <w:rPr>
      <w:rFonts w:ascii="宋体" w:eastAsia="宋体"/>
      <w:szCs w:val="21"/>
    </w:rPr>
  </w:style>
  <w:style w:type="paragraph" w:customStyle="1" w:styleId="94">
    <w:name w:val="附录公式"/>
    <w:basedOn w:val="23"/>
    <w:next w:val="23"/>
    <w:link w:val="95"/>
    <w:qFormat/>
    <w:uiPriority w:val="99"/>
  </w:style>
  <w:style w:type="character" w:customStyle="1" w:styleId="95">
    <w:name w:val="附录公式 Char"/>
    <w:basedOn w:val="43"/>
    <w:link w:val="94"/>
    <w:qFormat/>
    <w:locked/>
    <w:uiPriority w:val="99"/>
    <w:rPr>
      <w:rFonts w:ascii="宋体"/>
      <w:sz w:val="21"/>
      <w:lang w:val="en-US" w:eastAsia="zh-CN" w:bidi="ar-SA"/>
    </w:rPr>
  </w:style>
  <w:style w:type="paragraph" w:customStyle="1" w:styleId="96">
    <w:name w:val="附录公式编号制表符"/>
    <w:basedOn w:val="1"/>
    <w:next w:val="23"/>
    <w:qFormat/>
    <w:uiPriority w:val="99"/>
    <w:pPr>
      <w:widowControl/>
      <w:tabs>
        <w:tab w:val="center" w:pos="4201"/>
        <w:tab w:val="right" w:leader="dot" w:pos="9298"/>
      </w:tabs>
      <w:autoSpaceDE w:val="0"/>
      <w:autoSpaceDN w:val="0"/>
    </w:pPr>
    <w:rPr>
      <w:rFonts w:ascii="宋体"/>
      <w:kern w:val="0"/>
      <w:szCs w:val="20"/>
    </w:rPr>
  </w:style>
  <w:style w:type="paragraph" w:customStyle="1" w:styleId="97">
    <w:name w:val="附录三级条标题"/>
    <w:basedOn w:val="92"/>
    <w:next w:val="23"/>
    <w:qFormat/>
    <w:uiPriority w:val="99"/>
    <w:pPr>
      <w:numPr>
        <w:ilvl w:val="4"/>
      </w:numPr>
      <w:outlineLvl w:val="4"/>
    </w:pPr>
  </w:style>
  <w:style w:type="paragraph" w:customStyle="1" w:styleId="98">
    <w:name w:val="附录三级无"/>
    <w:basedOn w:val="97"/>
    <w:qFormat/>
    <w:uiPriority w:val="99"/>
    <w:pPr>
      <w:tabs>
        <w:tab w:val="clear" w:pos="360"/>
      </w:tabs>
      <w:spacing w:beforeLines="0" w:afterLines="0"/>
    </w:pPr>
    <w:rPr>
      <w:rFonts w:ascii="宋体" w:eastAsia="宋体"/>
      <w:szCs w:val="21"/>
    </w:rPr>
  </w:style>
  <w:style w:type="paragraph" w:customStyle="1" w:styleId="99">
    <w:name w:val="附录数字编号列项（二级）"/>
    <w:qFormat/>
    <w:uiPriority w:val="99"/>
    <w:pPr>
      <w:numPr>
        <w:ilvl w:val="1"/>
        <w:numId w:val="8"/>
      </w:numPr>
    </w:pPr>
    <w:rPr>
      <w:rFonts w:ascii="宋体" w:hAnsi="Times New Roman" w:eastAsia="宋体" w:cs="Times New Roman"/>
      <w:sz w:val="21"/>
      <w:lang w:val="en-US" w:eastAsia="zh-CN" w:bidi="ar-SA"/>
    </w:rPr>
  </w:style>
  <w:style w:type="paragraph" w:customStyle="1" w:styleId="100">
    <w:name w:val="附录四级条标题"/>
    <w:basedOn w:val="97"/>
    <w:next w:val="23"/>
    <w:qFormat/>
    <w:uiPriority w:val="99"/>
    <w:pPr>
      <w:numPr>
        <w:ilvl w:val="5"/>
      </w:numPr>
      <w:outlineLvl w:val="5"/>
    </w:pPr>
  </w:style>
  <w:style w:type="paragraph" w:customStyle="1" w:styleId="101">
    <w:name w:val="附录四级无"/>
    <w:basedOn w:val="100"/>
    <w:qFormat/>
    <w:uiPriority w:val="99"/>
    <w:pPr>
      <w:tabs>
        <w:tab w:val="clear" w:pos="360"/>
      </w:tabs>
      <w:spacing w:beforeLines="0" w:afterLines="0"/>
    </w:pPr>
    <w:rPr>
      <w:rFonts w:ascii="宋体" w:eastAsia="宋体"/>
      <w:szCs w:val="21"/>
    </w:rPr>
  </w:style>
  <w:style w:type="paragraph" w:customStyle="1" w:styleId="102">
    <w:name w:val="附录图标号"/>
    <w:basedOn w:val="1"/>
    <w:qFormat/>
    <w:uiPriority w:val="99"/>
    <w:pPr>
      <w:keepNext/>
      <w:pageBreakBefore/>
      <w:widowControl/>
      <w:numPr>
        <w:ilvl w:val="0"/>
        <w:numId w:val="9"/>
      </w:numPr>
      <w:spacing w:line="14" w:lineRule="exact"/>
      <w:ind w:left="0" w:firstLine="363"/>
      <w:jc w:val="center"/>
      <w:outlineLvl w:val="0"/>
    </w:pPr>
    <w:rPr>
      <w:color w:val="FFFFFF"/>
    </w:rPr>
  </w:style>
  <w:style w:type="paragraph" w:customStyle="1" w:styleId="103">
    <w:name w:val="附录图标题"/>
    <w:basedOn w:val="1"/>
    <w:next w:val="23"/>
    <w:qFormat/>
    <w:uiPriority w:val="99"/>
    <w:pPr>
      <w:numPr>
        <w:ilvl w:val="1"/>
        <w:numId w:val="9"/>
      </w:numPr>
      <w:tabs>
        <w:tab w:val="left" w:pos="363"/>
      </w:tabs>
      <w:spacing w:beforeLines="50" w:afterLines="50"/>
      <w:ind w:left="0" w:firstLine="0"/>
      <w:jc w:val="center"/>
    </w:pPr>
    <w:rPr>
      <w:rFonts w:ascii="黑体" w:eastAsia="黑体"/>
      <w:szCs w:val="21"/>
    </w:rPr>
  </w:style>
  <w:style w:type="paragraph" w:customStyle="1" w:styleId="104">
    <w:name w:val="附录五级条标题"/>
    <w:basedOn w:val="100"/>
    <w:next w:val="23"/>
    <w:qFormat/>
    <w:uiPriority w:val="99"/>
    <w:pPr>
      <w:numPr>
        <w:ilvl w:val="6"/>
      </w:numPr>
      <w:outlineLvl w:val="6"/>
    </w:pPr>
  </w:style>
  <w:style w:type="paragraph" w:customStyle="1" w:styleId="105">
    <w:name w:val="附录五级无"/>
    <w:basedOn w:val="104"/>
    <w:qFormat/>
    <w:uiPriority w:val="99"/>
    <w:pPr>
      <w:tabs>
        <w:tab w:val="clear" w:pos="360"/>
      </w:tabs>
      <w:spacing w:beforeLines="0" w:afterLines="0"/>
    </w:pPr>
    <w:rPr>
      <w:rFonts w:ascii="宋体" w:eastAsia="宋体"/>
      <w:szCs w:val="21"/>
    </w:rPr>
  </w:style>
  <w:style w:type="paragraph" w:customStyle="1" w:styleId="106">
    <w:name w:val="附录章标题"/>
    <w:next w:val="23"/>
    <w:qFormat/>
    <w:uiPriority w:val="99"/>
    <w:pPr>
      <w:numPr>
        <w:ilvl w:val="1"/>
        <w:numId w:val="6"/>
      </w:numPr>
      <w:tabs>
        <w:tab w:val="left" w:pos="360"/>
      </w:tabs>
      <w:wordWrap w:val="0"/>
      <w:overflowPunct w:val="0"/>
      <w:autoSpaceDE w:val="0"/>
      <w:spacing w:beforeLines="100" w:afterLines="100"/>
      <w:jc w:val="both"/>
      <w:textAlignment w:val="baseline"/>
      <w:outlineLvl w:val="1"/>
    </w:pPr>
    <w:rPr>
      <w:rFonts w:ascii="黑体" w:hAnsi="Times New Roman" w:eastAsia="黑体" w:cs="Times New Roman"/>
      <w:kern w:val="21"/>
      <w:sz w:val="21"/>
      <w:lang w:val="en-US" w:eastAsia="zh-CN" w:bidi="ar-SA"/>
    </w:rPr>
  </w:style>
  <w:style w:type="paragraph" w:customStyle="1" w:styleId="107">
    <w:name w:val="附录一级条标题"/>
    <w:basedOn w:val="106"/>
    <w:next w:val="23"/>
    <w:qFormat/>
    <w:uiPriority w:val="99"/>
    <w:pPr>
      <w:numPr>
        <w:ilvl w:val="2"/>
      </w:numPr>
      <w:autoSpaceDN w:val="0"/>
      <w:spacing w:beforeLines="50" w:afterLines="50"/>
      <w:outlineLvl w:val="2"/>
    </w:pPr>
  </w:style>
  <w:style w:type="paragraph" w:customStyle="1" w:styleId="108">
    <w:name w:val="附录一级无"/>
    <w:basedOn w:val="107"/>
    <w:qFormat/>
    <w:uiPriority w:val="99"/>
    <w:pPr>
      <w:tabs>
        <w:tab w:val="clear" w:pos="360"/>
      </w:tabs>
      <w:spacing w:beforeLines="0" w:afterLines="0"/>
    </w:pPr>
    <w:rPr>
      <w:rFonts w:ascii="宋体" w:eastAsia="宋体"/>
      <w:szCs w:val="21"/>
    </w:rPr>
  </w:style>
  <w:style w:type="paragraph" w:customStyle="1" w:styleId="109">
    <w:name w:val="附录字母编号列项（一级）"/>
    <w:qFormat/>
    <w:uiPriority w:val="99"/>
    <w:pPr>
      <w:numPr>
        <w:ilvl w:val="0"/>
        <w:numId w:val="8"/>
      </w:numPr>
    </w:pPr>
    <w:rPr>
      <w:rFonts w:ascii="宋体" w:hAnsi="Times New Roman" w:eastAsia="宋体" w:cs="Times New Roman"/>
      <w:sz w:val="21"/>
      <w:lang w:val="en-US" w:eastAsia="zh-CN" w:bidi="ar-SA"/>
    </w:rPr>
  </w:style>
  <w:style w:type="character" w:customStyle="1" w:styleId="110">
    <w:name w:val="脚注文本字符"/>
    <w:basedOn w:val="34"/>
    <w:link w:val="24"/>
    <w:semiHidden/>
    <w:qFormat/>
    <w:locked/>
    <w:uiPriority w:val="99"/>
    <w:rPr>
      <w:rFonts w:cs="Times New Roman"/>
      <w:sz w:val="18"/>
      <w:szCs w:val="18"/>
    </w:rPr>
  </w:style>
  <w:style w:type="paragraph" w:customStyle="1" w:styleId="111">
    <w:name w:val="列项说明"/>
    <w:basedOn w:val="1"/>
    <w:qFormat/>
    <w:uiPriority w:val="99"/>
    <w:pPr>
      <w:adjustRightInd w:val="0"/>
      <w:spacing w:line="320" w:lineRule="exact"/>
      <w:ind w:left="400" w:leftChars="200" w:hanging="200" w:hangingChars="200"/>
      <w:jc w:val="left"/>
      <w:textAlignment w:val="baseline"/>
    </w:pPr>
    <w:rPr>
      <w:rFonts w:ascii="宋体"/>
      <w:kern w:val="0"/>
      <w:szCs w:val="20"/>
    </w:rPr>
  </w:style>
  <w:style w:type="paragraph" w:customStyle="1" w:styleId="112">
    <w:name w:val="列项说明数字编号"/>
    <w:qFormat/>
    <w:uiPriority w:val="99"/>
    <w:pPr>
      <w:ind w:left="600" w:leftChars="400" w:hanging="200" w:hangingChars="200"/>
    </w:pPr>
    <w:rPr>
      <w:rFonts w:ascii="宋体" w:hAnsi="Times New Roman" w:eastAsia="宋体" w:cs="Times New Roman"/>
      <w:sz w:val="21"/>
      <w:lang w:val="en-US" w:eastAsia="zh-CN" w:bidi="ar-SA"/>
    </w:rPr>
  </w:style>
  <w:style w:type="paragraph" w:customStyle="1" w:styleId="113">
    <w:name w:val="目次、索引正文"/>
    <w:qFormat/>
    <w:uiPriority w:val="99"/>
    <w:pPr>
      <w:spacing w:line="320" w:lineRule="exact"/>
      <w:jc w:val="both"/>
    </w:pPr>
    <w:rPr>
      <w:rFonts w:ascii="宋体" w:hAnsi="Times New Roman" w:eastAsia="宋体" w:cs="Times New Roman"/>
      <w:sz w:val="21"/>
      <w:lang w:val="en-US" w:eastAsia="zh-CN" w:bidi="ar-SA"/>
    </w:rPr>
  </w:style>
  <w:style w:type="paragraph" w:customStyle="1" w:styleId="114">
    <w:name w:val="其他标准标志"/>
    <w:basedOn w:val="70"/>
    <w:qFormat/>
    <w:uiPriority w:val="99"/>
    <w:pPr>
      <w:framePr w:w="6101" w:wrap="around" w:vAnchor="page" w:hAnchor="page" w:x="4673" w:y="942"/>
    </w:pPr>
    <w:rPr>
      <w:w w:val="130"/>
    </w:rPr>
  </w:style>
  <w:style w:type="paragraph" w:customStyle="1" w:styleId="115">
    <w:name w:val="其他标准称谓"/>
    <w:next w:val="1"/>
    <w:qFormat/>
    <w:uiPriority w:val="99"/>
    <w:pPr>
      <w:framePr w:hSpace="181" w:vSpace="181" w:wrap="around" w:vAnchor="page" w:hAnchor="page" w:x="1419" w:y="2286" w:anchorLock="1"/>
      <w:spacing w:line="240" w:lineRule="atLeast"/>
      <w:jc w:val="distribute"/>
    </w:pPr>
    <w:rPr>
      <w:rFonts w:ascii="黑体" w:hAnsi="宋体" w:eastAsia="黑体" w:cs="Times New Roman"/>
      <w:spacing w:val="-40"/>
      <w:sz w:val="48"/>
      <w:szCs w:val="52"/>
      <w:lang w:val="en-US" w:eastAsia="zh-CN" w:bidi="ar-SA"/>
    </w:rPr>
  </w:style>
  <w:style w:type="paragraph" w:customStyle="1" w:styleId="116">
    <w:name w:val="其他发布部门"/>
    <w:basedOn w:val="78"/>
    <w:qFormat/>
    <w:uiPriority w:val="99"/>
    <w:pPr>
      <w:framePr w:wrap="around" w:y="15310"/>
      <w:spacing w:line="240" w:lineRule="atLeast"/>
    </w:pPr>
    <w:rPr>
      <w:rFonts w:ascii="黑体" w:eastAsia="黑体"/>
      <w:b w:val="0"/>
    </w:rPr>
  </w:style>
  <w:style w:type="paragraph" w:customStyle="1" w:styleId="117">
    <w:name w:val="前言、引言标题"/>
    <w:next w:val="23"/>
    <w:qFormat/>
    <w:uiPriority w:val="99"/>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118">
    <w:name w:val="三级无"/>
    <w:basedOn w:val="53"/>
    <w:qFormat/>
    <w:uiPriority w:val="99"/>
    <w:pPr>
      <w:spacing w:beforeLines="0" w:afterLines="0"/>
    </w:pPr>
    <w:rPr>
      <w:rFonts w:ascii="宋体" w:eastAsia="宋体"/>
    </w:rPr>
  </w:style>
  <w:style w:type="paragraph" w:customStyle="1" w:styleId="119">
    <w:name w:val="实施日期"/>
    <w:basedOn w:val="79"/>
    <w:qFormat/>
    <w:uiPriority w:val="99"/>
    <w:pPr>
      <w:framePr w:wrap="around" w:vAnchor="page" w:hAnchor="text"/>
      <w:jc w:val="right"/>
    </w:pPr>
  </w:style>
  <w:style w:type="paragraph" w:customStyle="1" w:styleId="120">
    <w:name w:val="示例后文字"/>
    <w:basedOn w:val="23"/>
    <w:next w:val="23"/>
    <w:qFormat/>
    <w:uiPriority w:val="99"/>
    <w:pPr>
      <w:ind w:firstLine="360"/>
    </w:pPr>
    <w:rPr>
      <w:sz w:val="18"/>
    </w:rPr>
  </w:style>
  <w:style w:type="paragraph" w:customStyle="1" w:styleId="121">
    <w:name w:val="首示例"/>
    <w:next w:val="23"/>
    <w:link w:val="122"/>
    <w:qFormat/>
    <w:uiPriority w:val="99"/>
    <w:pPr>
      <w:tabs>
        <w:tab w:val="left" w:pos="360"/>
      </w:tabs>
    </w:pPr>
    <w:rPr>
      <w:rFonts w:ascii="宋体" w:hAnsi="宋体" w:eastAsia="宋体" w:cs="Times New Roman"/>
      <w:kern w:val="2"/>
      <w:sz w:val="18"/>
      <w:szCs w:val="18"/>
      <w:lang w:val="en-US" w:eastAsia="zh-CN" w:bidi="ar-SA"/>
    </w:rPr>
  </w:style>
  <w:style w:type="character" w:customStyle="1" w:styleId="122">
    <w:name w:val="首示例 Char"/>
    <w:basedOn w:val="34"/>
    <w:link w:val="121"/>
    <w:qFormat/>
    <w:locked/>
    <w:uiPriority w:val="99"/>
    <w:rPr>
      <w:rFonts w:ascii="宋体" w:hAnsi="宋体"/>
      <w:kern w:val="2"/>
      <w:sz w:val="18"/>
      <w:szCs w:val="18"/>
      <w:lang w:val="en-US" w:eastAsia="zh-CN" w:bidi="ar-SA"/>
    </w:rPr>
  </w:style>
  <w:style w:type="paragraph" w:customStyle="1" w:styleId="123">
    <w:name w:val="四级无"/>
    <w:basedOn w:val="57"/>
    <w:qFormat/>
    <w:uiPriority w:val="99"/>
    <w:pPr>
      <w:spacing w:beforeLines="0" w:afterLines="0"/>
    </w:pPr>
    <w:rPr>
      <w:rFonts w:ascii="宋体" w:eastAsia="宋体"/>
    </w:rPr>
  </w:style>
  <w:style w:type="paragraph" w:customStyle="1" w:styleId="124">
    <w:name w:val="条文脚注"/>
    <w:basedOn w:val="24"/>
    <w:qFormat/>
    <w:uiPriority w:val="99"/>
    <w:pPr>
      <w:numPr>
        <w:numId w:val="0"/>
      </w:numPr>
      <w:jc w:val="both"/>
    </w:pPr>
  </w:style>
  <w:style w:type="paragraph" w:customStyle="1" w:styleId="125">
    <w:name w:val="图标脚注说明"/>
    <w:basedOn w:val="23"/>
    <w:qFormat/>
    <w:uiPriority w:val="99"/>
    <w:pPr>
      <w:ind w:left="840" w:hanging="420" w:firstLineChars="0"/>
    </w:pPr>
    <w:rPr>
      <w:sz w:val="18"/>
      <w:szCs w:val="18"/>
    </w:rPr>
  </w:style>
  <w:style w:type="paragraph" w:customStyle="1" w:styleId="126">
    <w:name w:val="图表脚注说明"/>
    <w:basedOn w:val="1"/>
    <w:qFormat/>
    <w:uiPriority w:val="99"/>
    <w:pPr>
      <w:ind w:left="544" w:hanging="181"/>
    </w:pPr>
    <w:rPr>
      <w:rFonts w:ascii="宋体"/>
      <w:sz w:val="18"/>
      <w:szCs w:val="18"/>
    </w:rPr>
  </w:style>
  <w:style w:type="paragraph" w:customStyle="1" w:styleId="127">
    <w:name w:val="图的脚注"/>
    <w:next w:val="23"/>
    <w:qFormat/>
    <w:uiPriority w:val="99"/>
    <w:pPr>
      <w:widowControl w:val="0"/>
      <w:ind w:left="840" w:leftChars="200" w:hanging="420" w:hangingChars="200"/>
      <w:jc w:val="both"/>
    </w:pPr>
    <w:rPr>
      <w:rFonts w:ascii="宋体" w:hAnsi="Times New Roman" w:eastAsia="宋体" w:cs="Times New Roman"/>
      <w:sz w:val="18"/>
      <w:lang w:val="en-US" w:eastAsia="zh-CN" w:bidi="ar-SA"/>
    </w:rPr>
  </w:style>
  <w:style w:type="character" w:customStyle="1" w:styleId="128">
    <w:name w:val="尾注文本字符"/>
    <w:basedOn w:val="34"/>
    <w:link w:val="15"/>
    <w:semiHidden/>
    <w:qFormat/>
    <w:locked/>
    <w:uiPriority w:val="99"/>
    <w:rPr>
      <w:rFonts w:cs="Times New Roman"/>
      <w:sz w:val="24"/>
      <w:szCs w:val="24"/>
    </w:rPr>
  </w:style>
  <w:style w:type="character" w:customStyle="1" w:styleId="129">
    <w:name w:val="文档结构图字符"/>
    <w:basedOn w:val="34"/>
    <w:link w:val="8"/>
    <w:semiHidden/>
    <w:qFormat/>
    <w:locked/>
    <w:uiPriority w:val="99"/>
    <w:rPr>
      <w:rFonts w:cs="Times New Roman"/>
      <w:sz w:val="2"/>
    </w:rPr>
  </w:style>
  <w:style w:type="paragraph" w:customStyle="1" w:styleId="130">
    <w:name w:val="文献分类号"/>
    <w:qFormat/>
    <w:uiPriority w:val="99"/>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131">
    <w:name w:val="五级无"/>
    <w:basedOn w:val="58"/>
    <w:qFormat/>
    <w:uiPriority w:val="99"/>
    <w:pPr>
      <w:spacing w:beforeLines="0" w:afterLines="0"/>
    </w:pPr>
    <w:rPr>
      <w:rFonts w:ascii="宋体" w:eastAsia="宋体"/>
    </w:rPr>
  </w:style>
  <w:style w:type="paragraph" w:customStyle="1" w:styleId="132">
    <w:name w:val="一级无"/>
    <w:basedOn w:val="44"/>
    <w:qFormat/>
    <w:uiPriority w:val="99"/>
    <w:pPr>
      <w:spacing w:beforeLines="0" w:afterLines="0"/>
    </w:pPr>
    <w:rPr>
      <w:rFonts w:ascii="宋体" w:eastAsia="宋体"/>
    </w:rPr>
  </w:style>
  <w:style w:type="paragraph" w:customStyle="1" w:styleId="133">
    <w:name w:val="正文表标题"/>
    <w:next w:val="23"/>
    <w:qFormat/>
    <w:uiPriority w:val="99"/>
    <w:p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34">
    <w:name w:val="正文公式编号制表符"/>
    <w:basedOn w:val="23"/>
    <w:next w:val="23"/>
    <w:qFormat/>
    <w:uiPriority w:val="99"/>
    <w:pPr>
      <w:ind w:firstLine="0" w:firstLineChars="0"/>
    </w:pPr>
  </w:style>
  <w:style w:type="paragraph" w:customStyle="1" w:styleId="135">
    <w:name w:val="正文图标题"/>
    <w:next w:val="23"/>
    <w:qFormat/>
    <w:uiPriority w:val="99"/>
    <w:p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36">
    <w:name w:val="终结线"/>
    <w:basedOn w:val="1"/>
    <w:qFormat/>
    <w:uiPriority w:val="99"/>
    <w:pPr>
      <w:framePr w:hSpace="181" w:vSpace="181" w:wrap="around" w:vAnchor="text" w:hAnchor="margin" w:xAlign="center" w:y="285"/>
    </w:pPr>
  </w:style>
  <w:style w:type="paragraph" w:customStyle="1" w:styleId="137">
    <w:name w:val="其他发布日期"/>
    <w:basedOn w:val="79"/>
    <w:qFormat/>
    <w:uiPriority w:val="99"/>
    <w:pPr>
      <w:framePr w:wrap="around" w:vAnchor="page" w:hAnchor="text" w:x="1419"/>
    </w:pPr>
  </w:style>
  <w:style w:type="paragraph" w:customStyle="1" w:styleId="138">
    <w:name w:val="其他实施日期"/>
    <w:basedOn w:val="119"/>
    <w:qFormat/>
    <w:uiPriority w:val="99"/>
    <w:pPr>
      <w:framePr w:wrap="around"/>
    </w:pPr>
  </w:style>
  <w:style w:type="paragraph" w:customStyle="1" w:styleId="139">
    <w:name w:val="封面标准名称2"/>
    <w:basedOn w:val="82"/>
    <w:qFormat/>
    <w:uiPriority w:val="99"/>
    <w:pPr>
      <w:framePr w:wrap="around" w:y="4469"/>
      <w:spacing w:beforeLines="630"/>
    </w:pPr>
  </w:style>
  <w:style w:type="paragraph" w:customStyle="1" w:styleId="140">
    <w:name w:val="封面标准英文名称2"/>
    <w:basedOn w:val="83"/>
    <w:qFormat/>
    <w:uiPriority w:val="99"/>
    <w:pPr>
      <w:framePr w:wrap="around" w:y="4469"/>
    </w:pPr>
  </w:style>
  <w:style w:type="paragraph" w:customStyle="1" w:styleId="141">
    <w:name w:val="封面一致性程度标识2"/>
    <w:basedOn w:val="84"/>
    <w:qFormat/>
    <w:uiPriority w:val="99"/>
    <w:pPr>
      <w:framePr w:wrap="around" w:y="4469"/>
    </w:pPr>
  </w:style>
  <w:style w:type="paragraph" w:customStyle="1" w:styleId="142">
    <w:name w:val="封面标准文稿类别2"/>
    <w:basedOn w:val="85"/>
    <w:qFormat/>
    <w:uiPriority w:val="99"/>
    <w:pPr>
      <w:framePr w:wrap="around" w:y="4469"/>
    </w:pPr>
  </w:style>
  <w:style w:type="paragraph" w:customStyle="1" w:styleId="143">
    <w:name w:val="封面标准文稿编辑信息2"/>
    <w:basedOn w:val="86"/>
    <w:qFormat/>
    <w:uiPriority w:val="99"/>
    <w:pPr>
      <w:framePr w:wrap="around" w:y="4469"/>
    </w:pPr>
  </w:style>
  <w:style w:type="paragraph" w:customStyle="1" w:styleId="144">
    <w:name w:val="图表脚注"/>
    <w:next w:val="23"/>
    <w:qFormat/>
    <w:uiPriority w:val="99"/>
    <w:pPr>
      <w:ind w:left="300" w:leftChars="200" w:hanging="100" w:hangingChars="100"/>
      <w:jc w:val="both"/>
    </w:pPr>
    <w:rPr>
      <w:rFonts w:ascii="宋体" w:hAnsi="Times New Roman" w:eastAsia="宋体" w:cs="Times New Roman"/>
      <w:sz w:val="18"/>
      <w:lang w:val="en-US" w:eastAsia="zh-CN" w:bidi="ar-SA"/>
    </w:rPr>
  </w:style>
  <w:style w:type="paragraph" w:customStyle="1" w:styleId="145">
    <w:name w:val="Char1 Char Char Char"/>
    <w:basedOn w:val="1"/>
    <w:qFormat/>
    <w:uiPriority w:val="99"/>
    <w:rPr>
      <w:szCs w:val="20"/>
    </w:rPr>
  </w:style>
  <w:style w:type="paragraph" w:customStyle="1" w:styleId="146">
    <w:name w:val="Char1 Char Char Char1"/>
    <w:basedOn w:val="1"/>
    <w:qFormat/>
    <w:uiPriority w:val="99"/>
    <w:rPr>
      <w:szCs w:val="20"/>
    </w:rPr>
  </w:style>
  <w:style w:type="character" w:customStyle="1" w:styleId="147">
    <w:name w:val="apple-converted-space"/>
    <w:basedOn w:val="34"/>
    <w:qFormat/>
    <w:uiPriority w:val="99"/>
    <w:rPr>
      <w:rFonts w:cs="Times New Roman"/>
    </w:rPr>
  </w:style>
  <w:style w:type="character" w:customStyle="1" w:styleId="148">
    <w:name w:val="批注框文本字符"/>
    <w:basedOn w:val="34"/>
    <w:link w:val="16"/>
    <w:semiHidden/>
    <w:qFormat/>
    <w:locked/>
    <w:uiPriority w:val="99"/>
    <w:rPr>
      <w:rFonts w:cs="Times New Roman"/>
      <w:sz w:val="2"/>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numbering" Target="numbering.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C:\Documents%20and%20Settings\Administrator\&#26700;&#38754;\2015&#24180;&#38485;&#35199;&#30465;&#22320;&#26041;&#26631;&#20934;&#25991;&#26412;-&#26097;&#22320;&#26149;&#29577;&#31859;&#29983;&#20135;&#25216;&#26415;&#35268;&#31243;(&#36335;&#28023;&#19996;).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Info spid="_x0000_s1027"/>
    <customShpInfo spid="_x0000_s1028"/>
    <customShpInfo spid="_x0000_s1029"/>
    <customShpInfo spid="_x0000_s1030"/>
    <customShpInfo spid="_x0000_s103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A366446-DA83-1340-831A-DB7DF795476F}">
  <ds:schemaRefs/>
</ds:datastoreItem>
</file>

<file path=docProps/app.xml><?xml version="1.0" encoding="utf-8"?>
<Properties xmlns="http://schemas.openxmlformats.org/officeDocument/2006/extended-properties" xmlns:vt="http://schemas.openxmlformats.org/officeDocument/2006/docPropsVTypes">
  <Template>D:\C:\Documents and Settings\Administrator\桌面\2015年陕西省地方标准文本-旱地春玉米生产技术规程(路海东).dot</Template>
  <Pages>8</Pages>
  <Words>628</Words>
  <Characters>3582</Characters>
  <Lines>29</Lines>
  <Paragraphs>8</Paragraphs>
  <TotalTime>0</TotalTime>
  <ScaleCrop>false</ScaleCrop>
  <LinksUpToDate>false</LinksUpToDate>
  <CharactersWithSpaces>4202</CharactersWithSpaces>
  <Application>WPS Office_11.8.2.11813_F1E327BC-269C-435d-A152-05C5408002CA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2017-04-21T06:44:00Z</dcterms:created>
  <dcterms:modified xsi:type="dcterms:W3CDTF">2025-01-06T01:33:04Z</dcterms:modified>
  <dc:title>标准名称</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2052-11.8.2.11813</vt:lpwstr>
  </property>
  <property fmtid="{D5CDD505-2E9C-101B-9397-08002B2CF9AE}" pid="3" name="ICV">
    <vt:lpwstr>D1F50CECCCF644D98A88B4F253B381F0_12</vt:lpwstr>
  </property>
</Properties>
</file>