
<file path=[Content_Types].xml><?xml version="1.0" encoding="utf-8"?>
<Types xmlns="http://schemas.openxmlformats.org/package/2006/content-types">
  <Default Extension="xml" ContentType="application/xml"/>
  <Default Extension="jpeg" ContentType="image/jpeg"/>
  <Default Extension="tiff" ContentType="image/tif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方正小标宋_GBK" w:hAnsi="方正小标宋_GBK" w:eastAsia="方正小标宋_GBK" w:cs="方正小标宋_GBK"/>
          <w:sz w:val="52"/>
          <w:szCs w:val="52"/>
        </w:rPr>
      </w:pPr>
    </w:p>
    <w:p>
      <w:pPr>
        <w:rPr>
          <w:rFonts w:hint="eastAsia" w:ascii="方正小标宋_GBK" w:hAnsi="方正小标宋_GBK" w:eastAsia="方正小标宋_GBK" w:cs="方正小标宋_GBK"/>
          <w:sz w:val="52"/>
          <w:szCs w:val="52"/>
        </w:rPr>
      </w:pPr>
    </w:p>
    <w:p>
      <w:pPr>
        <w:rPr>
          <w:rFonts w:hint="eastAsia" w:ascii="方正小标宋_GBK" w:hAnsi="方正小标宋_GBK" w:eastAsia="方正小标宋_GBK" w:cs="方正小标宋_GBK"/>
          <w:sz w:val="52"/>
          <w:szCs w:val="52"/>
        </w:rPr>
      </w:pPr>
    </w:p>
    <w:p>
      <w:pPr>
        <w:jc w:val="center"/>
        <w:rPr>
          <w:rFonts w:hint="eastAsia" w:ascii="方正小标宋_GBK" w:hAnsi="方正小标宋_GBK" w:eastAsia="方正小标宋_GBK" w:cs="方正小标宋_GBK"/>
          <w:sz w:val="44"/>
          <w:szCs w:val="44"/>
        </w:rPr>
      </w:pPr>
      <w:r>
        <w:rPr>
          <w:rFonts w:hint="eastAsia" w:ascii="方正小标宋_GBK" w:hAnsi="方正小标宋_GBK" w:eastAsia="方正小标宋_GBK" w:cs="方正小标宋_GBK"/>
          <w:sz w:val="52"/>
          <w:szCs w:val="52"/>
        </w:rPr>
        <w:t>陕西省地方标准编制说明</w:t>
      </w:r>
    </w:p>
    <w:p/>
    <w:p/>
    <w:p/>
    <w:p>
      <w:pPr>
        <w:pStyle w:val="2"/>
      </w:pPr>
    </w:p>
    <w:p>
      <w:pPr>
        <w:pStyle w:val="2"/>
      </w:pPr>
    </w:p>
    <w:tbl>
      <w:tblPr>
        <w:tblStyle w:val="5"/>
        <w:tblW w:w="0" w:type="auto"/>
        <w:jc w:val="center"/>
        <w:tblLayout w:type="fixed"/>
        <w:tblCellMar>
          <w:top w:w="0" w:type="dxa"/>
          <w:left w:w="108" w:type="dxa"/>
          <w:bottom w:w="0" w:type="dxa"/>
          <w:right w:w="108" w:type="dxa"/>
        </w:tblCellMar>
      </w:tblPr>
      <w:tblGrid>
        <w:gridCol w:w="2158"/>
        <w:gridCol w:w="6070"/>
      </w:tblGrid>
      <w:tr>
        <w:trPr>
          <w:jc w:val="center"/>
        </w:trPr>
        <w:tc>
          <w:tcPr>
            <w:tcW w:w="2158" w:type="dxa"/>
            <w:noWrap w:val="0"/>
            <w:vAlign w:val="top"/>
          </w:tcPr>
          <w:p>
            <w:pPr>
              <w:jc w:val="distribute"/>
              <w:rPr>
                <w:b/>
                <w:bCs/>
              </w:rPr>
            </w:pPr>
            <w:r>
              <w:rPr>
                <w:rFonts w:hint="eastAsia"/>
                <w:b/>
                <w:bCs/>
              </w:rPr>
              <w:t>项目名称：</w:t>
            </w:r>
          </w:p>
        </w:tc>
        <w:tc>
          <w:tcPr>
            <w:tcW w:w="6070" w:type="dxa"/>
            <w:tcBorders>
              <w:bottom w:val="single" w:color="auto" w:sz="4" w:space="0"/>
            </w:tcBorders>
            <w:noWrap w:val="0"/>
            <w:vAlign w:val="top"/>
          </w:tcPr>
          <w:p>
            <w:pPr>
              <w:jc w:val="center"/>
            </w:pPr>
            <w:r>
              <w:rPr>
                <w:rFonts w:hint="eastAsia"/>
              </w:rPr>
              <w:t>林下巫山淫羊藿栽培技术规程</w:t>
            </w:r>
          </w:p>
        </w:tc>
      </w:tr>
      <w:tr>
        <w:trPr>
          <w:jc w:val="center"/>
        </w:trPr>
        <w:tc>
          <w:tcPr>
            <w:tcW w:w="2158" w:type="dxa"/>
            <w:noWrap w:val="0"/>
            <w:vAlign w:val="top"/>
          </w:tcPr>
          <w:p>
            <w:pPr>
              <w:jc w:val="distribute"/>
              <w:rPr>
                <w:b/>
                <w:bCs/>
              </w:rPr>
            </w:pPr>
            <w:r>
              <w:rPr>
                <w:rFonts w:hint="eastAsia"/>
                <w:b/>
                <w:bCs/>
              </w:rPr>
              <w:t>规范类别：</w:t>
            </w:r>
          </w:p>
        </w:tc>
        <w:tc>
          <w:tcPr>
            <w:tcW w:w="6070" w:type="dxa"/>
            <w:tcBorders>
              <w:top w:val="single" w:color="auto" w:sz="4" w:space="0"/>
              <w:bottom w:val="single" w:color="auto" w:sz="4" w:space="0"/>
            </w:tcBorders>
            <w:noWrap w:val="0"/>
            <w:vAlign w:val="top"/>
          </w:tcPr>
          <w:p>
            <w:pPr>
              <w:jc w:val="center"/>
            </w:pPr>
            <w:r>
              <w:rPr>
                <w:rFonts w:hint="eastAsia"/>
              </w:rPr>
              <w:t>技</w:t>
            </w:r>
            <w:r>
              <w:rPr>
                <w:rFonts w:hint="eastAsia"/>
                <w:lang w:val="en-US" w:eastAsia="zh-CN"/>
              </w:rPr>
              <w:t xml:space="preserve">    </w:t>
            </w:r>
            <w:r>
              <w:rPr>
                <w:rFonts w:hint="eastAsia"/>
              </w:rPr>
              <w:t>术</w:t>
            </w:r>
          </w:p>
        </w:tc>
      </w:tr>
      <w:tr>
        <w:trPr>
          <w:jc w:val="center"/>
        </w:trPr>
        <w:tc>
          <w:tcPr>
            <w:tcW w:w="2158" w:type="dxa"/>
            <w:noWrap w:val="0"/>
            <w:vAlign w:val="top"/>
          </w:tcPr>
          <w:p>
            <w:pPr>
              <w:jc w:val="distribute"/>
              <w:rPr>
                <w:b/>
                <w:bCs/>
              </w:rPr>
            </w:pPr>
            <w:r>
              <w:rPr>
                <w:rFonts w:hint="eastAsia"/>
                <w:b/>
                <w:bCs/>
              </w:rPr>
              <w:t>制/修订：</w:t>
            </w:r>
          </w:p>
        </w:tc>
        <w:tc>
          <w:tcPr>
            <w:tcW w:w="6070" w:type="dxa"/>
            <w:tcBorders>
              <w:top w:val="single" w:color="auto" w:sz="4" w:space="0"/>
              <w:bottom w:val="single" w:color="auto" w:sz="4" w:space="0"/>
            </w:tcBorders>
            <w:noWrap w:val="0"/>
            <w:vAlign w:val="top"/>
          </w:tcPr>
          <w:p>
            <w:pPr>
              <w:jc w:val="center"/>
            </w:pPr>
            <w:r>
              <w:rPr>
                <w:rFonts w:hint="eastAsia"/>
              </w:rPr>
              <w:t>制</w:t>
            </w:r>
            <w:r>
              <w:rPr>
                <w:rFonts w:hint="eastAsia"/>
                <w:lang w:val="en-US" w:eastAsia="zh-CN"/>
              </w:rPr>
              <w:t xml:space="preserve">    </w:t>
            </w:r>
            <w:r>
              <w:rPr>
                <w:rFonts w:hint="eastAsia"/>
              </w:rPr>
              <w:t>订</w:t>
            </w:r>
          </w:p>
        </w:tc>
      </w:tr>
      <w:tr>
        <w:trPr>
          <w:jc w:val="center"/>
        </w:trPr>
        <w:tc>
          <w:tcPr>
            <w:tcW w:w="2158" w:type="dxa"/>
            <w:noWrap w:val="0"/>
            <w:vAlign w:val="top"/>
          </w:tcPr>
          <w:p>
            <w:pPr>
              <w:jc w:val="distribute"/>
              <w:rPr>
                <w:b/>
                <w:bCs/>
              </w:rPr>
            </w:pPr>
            <w:r>
              <w:rPr>
                <w:rFonts w:hint="eastAsia"/>
                <w:b/>
                <w:bCs/>
              </w:rPr>
              <w:t>起草单位：</w:t>
            </w:r>
          </w:p>
        </w:tc>
        <w:tc>
          <w:tcPr>
            <w:tcW w:w="6070" w:type="dxa"/>
            <w:tcBorders>
              <w:top w:val="single" w:color="auto" w:sz="4" w:space="0"/>
              <w:bottom w:val="single" w:color="auto" w:sz="4" w:space="0"/>
            </w:tcBorders>
            <w:noWrap w:val="0"/>
            <w:vAlign w:val="center"/>
          </w:tcPr>
          <w:p>
            <w:pPr>
              <w:jc w:val="center"/>
              <w:rPr>
                <w:rFonts w:hint="eastAsia"/>
                <w:sz w:val="32"/>
                <w:szCs w:val="32"/>
              </w:rPr>
            </w:pPr>
            <w:r>
              <w:rPr>
                <w:rFonts w:hint="eastAsia"/>
                <w:sz w:val="32"/>
                <w:szCs w:val="32"/>
              </w:rPr>
              <w:t>陕西省林业科技推广与国际项目管理中心</w:t>
            </w:r>
          </w:p>
        </w:tc>
      </w:tr>
      <w:tr>
        <w:trPr>
          <w:jc w:val="center"/>
        </w:trPr>
        <w:tc>
          <w:tcPr>
            <w:tcW w:w="2158" w:type="dxa"/>
            <w:noWrap w:val="0"/>
            <w:vAlign w:val="top"/>
          </w:tcPr>
          <w:p>
            <w:pPr>
              <w:jc w:val="distribute"/>
              <w:rPr>
                <w:b/>
                <w:bCs/>
              </w:rPr>
            </w:pPr>
            <w:r>
              <w:rPr>
                <w:rFonts w:hint="eastAsia"/>
                <w:b/>
                <w:bCs/>
              </w:rPr>
              <w:t>联系人：</w:t>
            </w:r>
          </w:p>
        </w:tc>
        <w:tc>
          <w:tcPr>
            <w:tcW w:w="6070" w:type="dxa"/>
            <w:tcBorders>
              <w:top w:val="single" w:color="auto" w:sz="4" w:space="0"/>
              <w:bottom w:val="single" w:color="auto" w:sz="4" w:space="0"/>
            </w:tcBorders>
            <w:noWrap w:val="0"/>
            <w:vAlign w:val="top"/>
          </w:tcPr>
          <w:p>
            <w:pPr>
              <w:jc w:val="center"/>
              <w:rPr>
                <w:rFonts w:hint="eastAsia"/>
              </w:rPr>
            </w:pPr>
            <w:r>
              <w:rPr>
                <w:rFonts w:hint="eastAsia"/>
              </w:rPr>
              <w:t>刘</w:t>
            </w:r>
            <w:r>
              <w:rPr>
                <w:rFonts w:hint="eastAsia"/>
                <w:lang w:val="en-US" w:eastAsia="zh-CN"/>
              </w:rPr>
              <w:t xml:space="preserve">    </w:t>
            </w:r>
            <w:r>
              <w:rPr>
                <w:rFonts w:hint="eastAsia"/>
              </w:rPr>
              <w:t>毅</w:t>
            </w:r>
          </w:p>
        </w:tc>
      </w:tr>
      <w:tr>
        <w:trPr>
          <w:jc w:val="center"/>
        </w:trPr>
        <w:tc>
          <w:tcPr>
            <w:tcW w:w="2158" w:type="dxa"/>
            <w:noWrap w:val="0"/>
            <w:vAlign w:val="top"/>
          </w:tcPr>
          <w:p>
            <w:pPr>
              <w:jc w:val="distribute"/>
              <w:rPr>
                <w:b/>
                <w:bCs/>
              </w:rPr>
            </w:pPr>
            <w:r>
              <w:rPr>
                <w:rFonts w:hint="eastAsia"/>
                <w:b/>
                <w:bCs/>
              </w:rPr>
              <w:t>联系电话：</w:t>
            </w:r>
          </w:p>
        </w:tc>
        <w:tc>
          <w:tcPr>
            <w:tcW w:w="6070" w:type="dxa"/>
            <w:tcBorders>
              <w:top w:val="single" w:color="auto" w:sz="4" w:space="0"/>
              <w:bottom w:val="single" w:color="auto" w:sz="4" w:space="0"/>
            </w:tcBorders>
            <w:noWrap w:val="0"/>
            <w:vAlign w:val="top"/>
          </w:tcPr>
          <w:p>
            <w:pPr>
              <w:jc w:val="center"/>
              <w:rPr>
                <w:rFonts w:hint="eastAsia"/>
              </w:rPr>
            </w:pPr>
            <w:r>
              <w:rPr>
                <w:rFonts w:hint="eastAsia"/>
              </w:rPr>
              <w:t>029-88652508</w:t>
            </w:r>
          </w:p>
        </w:tc>
      </w:tr>
    </w:tbl>
    <w:p/>
    <w:p>
      <w:pPr>
        <w:pStyle w:val="2"/>
      </w:pPr>
    </w:p>
    <w:p>
      <w:pPr>
        <w:pStyle w:val="2"/>
      </w:pPr>
    </w:p>
    <w:p>
      <w:pPr>
        <w:pStyle w:val="2"/>
      </w:pPr>
    </w:p>
    <w:p>
      <w:pPr>
        <w:pStyle w:val="2"/>
      </w:pPr>
    </w:p>
    <w:p>
      <w:pPr>
        <w:sectPr>
          <w:pgSz w:w="11906" w:h="16838"/>
          <w:pgMar w:top="1440" w:right="1800" w:bottom="1440" w:left="1800" w:header="851" w:footer="992" w:gutter="0"/>
          <w:cols w:space="425" w:num="1"/>
          <w:docGrid w:type="lines" w:linePitch="312" w:charSpace="0"/>
        </w:sectPr>
      </w:pPr>
      <w:bookmarkStart w:id="0" w:name="_GoBack"/>
      <w:bookmarkEnd w:id="0"/>
    </w:p>
    <w:p>
      <w:pPr>
        <w:keepNext w:val="0"/>
        <w:keepLines w:val="0"/>
        <w:pageBreakBefore w:val="0"/>
        <w:widowControl w:val="0"/>
        <w:kinsoku/>
        <w:wordWrap/>
        <w:overflowPunct/>
        <w:topLinePunct w:val="0"/>
        <w:autoSpaceDE/>
        <w:autoSpaceDN/>
        <w:bidi w:val="0"/>
        <w:adjustRightInd/>
        <w:snapToGrid/>
        <w:spacing w:line="800" w:lineRule="exact"/>
        <w:jc w:val="both"/>
        <w:textAlignment w:val="auto"/>
        <w:rPr>
          <w:rFonts w:hint="eastAsia" w:ascii="方正小标宋简体" w:hAnsi="方正小标宋简体" w:eastAsia="方正小标宋简体" w:cs="方正小标宋简体"/>
          <w:sz w:val="44"/>
          <w:szCs w:val="44"/>
        </w:rPr>
      </w:pPr>
    </w:p>
    <w:p>
      <w:pPr>
        <w:keepNext w:val="0"/>
        <w:keepLines w:val="0"/>
        <w:pageBreakBefore w:val="0"/>
        <w:widowControl w:val="0"/>
        <w:kinsoku/>
        <w:wordWrap/>
        <w:overflowPunct/>
        <w:topLinePunct w:val="0"/>
        <w:autoSpaceDE/>
        <w:autoSpaceDN/>
        <w:bidi w:val="0"/>
        <w:adjustRightInd/>
        <w:snapToGrid/>
        <w:spacing w:line="80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陕西省地方标准</w:t>
      </w:r>
    </w:p>
    <w:p>
      <w:pPr>
        <w:keepNext w:val="0"/>
        <w:keepLines w:val="0"/>
        <w:pageBreakBefore w:val="0"/>
        <w:widowControl w:val="0"/>
        <w:kinsoku/>
        <w:wordWrap/>
        <w:overflowPunct/>
        <w:topLinePunct w:val="0"/>
        <w:autoSpaceDE/>
        <w:autoSpaceDN/>
        <w:bidi w:val="0"/>
        <w:adjustRightInd/>
        <w:snapToGrid/>
        <w:spacing w:line="80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《林下巫山淫羊藿栽培技术规程》</w:t>
      </w:r>
      <w:r>
        <w:rPr>
          <w:rFonts w:hint="eastAsia" w:ascii="方正小标宋简体" w:hAnsi="方正小标宋简体" w:eastAsia="方正小标宋简体" w:cs="方正小标宋简体"/>
          <w:sz w:val="44"/>
          <w:szCs w:val="44"/>
        </w:rPr>
        <w:t>编制说明</w:t>
      </w:r>
    </w:p>
    <w:p/>
    <w:p>
      <w:pPr>
        <w:adjustRightInd w:val="0"/>
        <w:snapToGrid w:val="0"/>
        <w:spacing w:line="360" w:lineRule="auto"/>
        <w:ind w:firstLine="481" w:firstLineChars="200"/>
        <w:rPr>
          <w:rFonts w:hint="eastAsia" w:ascii="宋体" w:hAnsi="宋体" w:eastAsia="宋体"/>
          <w:sz w:val="24"/>
          <w:szCs w:val="24"/>
        </w:rPr>
      </w:pPr>
      <w:r>
        <w:rPr>
          <w:rFonts w:hint="eastAsia" w:ascii="宋体" w:hAnsi="宋体" w:eastAsia="宋体" w:cs="黑体"/>
          <w:b/>
          <w:bCs/>
          <w:sz w:val="24"/>
          <w:szCs w:val="24"/>
        </w:rPr>
        <w:t>一、工作简况</w:t>
      </w:r>
      <w:r>
        <w:rPr>
          <w:rFonts w:hint="eastAsia" w:ascii="宋体" w:hAnsi="宋体" w:eastAsia="宋体"/>
          <w:sz w:val="24"/>
          <w:szCs w:val="24"/>
        </w:rPr>
        <w:t>（包括任务来源与项目编号、标准主要起草单位、协作单位、主要起草人及简要起草过程等）</w:t>
      </w:r>
    </w:p>
    <w:p>
      <w:pPr>
        <w:adjustRightInd w:val="0"/>
        <w:spacing w:line="360" w:lineRule="auto"/>
        <w:ind w:firstLine="481" w:firstLineChars="200"/>
        <w:rPr>
          <w:rFonts w:hint="eastAsia" w:ascii="宋体" w:hAnsi="宋体" w:eastAsia="宋体"/>
          <w:b/>
          <w:bCs/>
          <w:sz w:val="24"/>
          <w:szCs w:val="24"/>
        </w:rPr>
      </w:pPr>
      <w:r>
        <w:rPr>
          <w:rFonts w:hint="eastAsia" w:ascii="宋体" w:hAnsi="宋体" w:eastAsia="宋体"/>
          <w:b/>
          <w:bCs/>
          <w:sz w:val="24"/>
          <w:szCs w:val="24"/>
        </w:rPr>
        <w:t>（一）制订标准的必要性</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淫羊藿，是一种多年生草本植物，属于小檗科淫羊藿属，在中国的药用历史已有2000余年。它始载于《神农本草经》，位列中品，有三枝九叶草、仙灵脾、牛角花等别称。淫羊藿在1963年版的《中国药典》中首次被收录，当时主要来源于黔岭淫羊藿（</w:t>
      </w:r>
      <w:r>
        <w:rPr>
          <w:rFonts w:eastAsia="宋体" w:cs="Times New Roman"/>
          <w:i/>
          <w:sz w:val="24"/>
          <w:szCs w:val="24"/>
        </w:rPr>
        <w:t>Epimedium leptorrhizum</w:t>
      </w:r>
      <w:r>
        <w:rPr>
          <w:rFonts w:eastAsia="宋体" w:cs="Times New Roman"/>
          <w:sz w:val="24"/>
          <w:szCs w:val="24"/>
        </w:rPr>
        <w:t xml:space="preserve"> Stearn）和心叶淫羊藿（</w:t>
      </w:r>
      <w:r>
        <w:rPr>
          <w:rFonts w:eastAsia="宋体" w:cs="Times New Roman"/>
          <w:i/>
          <w:sz w:val="24"/>
          <w:szCs w:val="24"/>
        </w:rPr>
        <w:t>E. brevicornu</w:t>
      </w:r>
      <w:r>
        <w:rPr>
          <w:rFonts w:eastAsia="宋体" w:cs="Times New Roman"/>
          <w:sz w:val="24"/>
          <w:szCs w:val="24"/>
        </w:rPr>
        <w:t xml:space="preserve"> Maxim.）。随着时间的推移，1990年版《中国药典》进一步扩展了淫羊藿的来源，包括了</w:t>
      </w:r>
      <w:r>
        <w:rPr>
          <w:rFonts w:hint="eastAsia" w:eastAsia="宋体" w:cs="Times New Roman"/>
          <w:sz w:val="24"/>
          <w:szCs w:val="24"/>
        </w:rPr>
        <w:t>淫羊藿（</w:t>
      </w:r>
      <w:r>
        <w:rPr>
          <w:rFonts w:hint="eastAsia" w:eastAsia="宋体" w:cs="Times New Roman"/>
          <w:i/>
          <w:sz w:val="24"/>
          <w:szCs w:val="24"/>
        </w:rPr>
        <w:t>E</w:t>
      </w:r>
      <w:r>
        <w:rPr>
          <w:rFonts w:eastAsia="宋体" w:cs="Times New Roman"/>
          <w:i/>
          <w:sz w:val="24"/>
          <w:szCs w:val="24"/>
        </w:rPr>
        <w:t>.</w:t>
      </w:r>
      <w:r>
        <w:rPr>
          <w:rFonts w:hint="eastAsia" w:eastAsia="宋体" w:cs="Times New Roman"/>
          <w:i/>
          <w:sz w:val="24"/>
          <w:szCs w:val="24"/>
        </w:rPr>
        <w:t xml:space="preserve"> brevicornu</w:t>
      </w:r>
      <w:r>
        <w:rPr>
          <w:rFonts w:hint="eastAsia" w:eastAsia="宋体" w:cs="Times New Roman"/>
          <w:sz w:val="24"/>
          <w:szCs w:val="24"/>
        </w:rPr>
        <w:t xml:space="preserve"> Maxim.）：主要产于中国中部和西部地区，如四川、湖北、陕西等省份。箭叶淫羊藿（</w:t>
      </w:r>
      <w:r>
        <w:rPr>
          <w:rFonts w:hint="eastAsia" w:eastAsia="宋体" w:cs="Times New Roman"/>
          <w:i/>
          <w:sz w:val="24"/>
          <w:szCs w:val="24"/>
        </w:rPr>
        <w:t>E</w:t>
      </w:r>
      <w:r>
        <w:rPr>
          <w:rFonts w:eastAsia="宋体" w:cs="Times New Roman"/>
          <w:i/>
          <w:sz w:val="24"/>
          <w:szCs w:val="24"/>
        </w:rPr>
        <w:t>.</w:t>
      </w:r>
      <w:r>
        <w:rPr>
          <w:rFonts w:hint="eastAsia" w:eastAsia="宋体" w:cs="Times New Roman"/>
          <w:i/>
          <w:sz w:val="24"/>
          <w:szCs w:val="24"/>
        </w:rPr>
        <w:t xml:space="preserve"> sagittatum</w:t>
      </w:r>
      <w:r>
        <w:rPr>
          <w:rFonts w:hint="eastAsia" w:eastAsia="宋体" w:cs="Times New Roman"/>
          <w:sz w:val="24"/>
          <w:szCs w:val="24"/>
        </w:rPr>
        <w:t xml:space="preserve"> (Sieb. et Zucc.) Maxim.）：特点是叶片形状似箭头，主要分布在中国的东北部和中部地区。柔毛淫羊藿（</w:t>
      </w:r>
      <w:r>
        <w:rPr>
          <w:rFonts w:hint="eastAsia" w:eastAsia="宋体" w:cs="Times New Roman"/>
          <w:i/>
          <w:sz w:val="24"/>
          <w:szCs w:val="24"/>
        </w:rPr>
        <w:t>E</w:t>
      </w:r>
      <w:r>
        <w:rPr>
          <w:rFonts w:eastAsia="宋体" w:cs="Times New Roman"/>
          <w:i/>
          <w:sz w:val="24"/>
          <w:szCs w:val="24"/>
        </w:rPr>
        <w:t>.</w:t>
      </w:r>
      <w:r>
        <w:rPr>
          <w:rFonts w:hint="eastAsia" w:eastAsia="宋体" w:cs="Times New Roman"/>
          <w:i/>
          <w:sz w:val="24"/>
          <w:szCs w:val="24"/>
        </w:rPr>
        <w:t xml:space="preserve"> pubescens</w:t>
      </w:r>
      <w:r>
        <w:rPr>
          <w:rFonts w:hint="eastAsia" w:eastAsia="宋体" w:cs="Times New Roman"/>
          <w:sz w:val="24"/>
          <w:szCs w:val="24"/>
        </w:rPr>
        <w:t xml:space="preserve"> Maxim.）：叶片较为柔软，表面有细密的绒毛，主要产于中国的中部和南部。巫山淫羊藿（</w:t>
      </w:r>
      <w:r>
        <w:rPr>
          <w:rFonts w:hint="eastAsia" w:eastAsia="宋体" w:cs="Times New Roman"/>
          <w:i/>
          <w:sz w:val="24"/>
          <w:szCs w:val="24"/>
        </w:rPr>
        <w:t>E</w:t>
      </w:r>
      <w:r>
        <w:rPr>
          <w:rFonts w:eastAsia="宋体" w:cs="Times New Roman"/>
          <w:i/>
          <w:sz w:val="24"/>
          <w:szCs w:val="24"/>
        </w:rPr>
        <w:t>.</w:t>
      </w:r>
      <w:r>
        <w:rPr>
          <w:rFonts w:hint="eastAsia" w:eastAsia="宋体" w:cs="Times New Roman"/>
          <w:i/>
          <w:sz w:val="24"/>
          <w:szCs w:val="24"/>
        </w:rPr>
        <w:t xml:space="preserve"> wushanense</w:t>
      </w:r>
      <w:r>
        <w:rPr>
          <w:rFonts w:hint="eastAsia" w:eastAsia="宋体" w:cs="Times New Roman"/>
          <w:sz w:val="24"/>
          <w:szCs w:val="24"/>
        </w:rPr>
        <w:t xml:space="preserve"> T.S. Ying）：主要产于重庆市巫山县及其周边地区。朝鲜淫羊藿（</w:t>
      </w:r>
      <w:r>
        <w:rPr>
          <w:rFonts w:hint="eastAsia" w:eastAsia="宋体" w:cs="Times New Roman"/>
          <w:i/>
          <w:sz w:val="24"/>
          <w:szCs w:val="24"/>
        </w:rPr>
        <w:t>E</w:t>
      </w:r>
      <w:r>
        <w:rPr>
          <w:rFonts w:eastAsia="宋体" w:cs="Times New Roman"/>
          <w:i/>
          <w:sz w:val="24"/>
          <w:szCs w:val="24"/>
        </w:rPr>
        <w:t>.</w:t>
      </w:r>
      <w:r>
        <w:rPr>
          <w:rFonts w:hint="eastAsia" w:eastAsia="宋体" w:cs="Times New Roman"/>
          <w:i/>
          <w:sz w:val="24"/>
          <w:szCs w:val="24"/>
        </w:rPr>
        <w:t xml:space="preserve"> koreanum</w:t>
      </w:r>
      <w:r>
        <w:rPr>
          <w:rFonts w:hint="eastAsia" w:eastAsia="宋体" w:cs="Times New Roman"/>
          <w:sz w:val="24"/>
          <w:szCs w:val="24"/>
        </w:rPr>
        <w:t xml:space="preserve"> Nakai）：主要分布在中国东北部和朝鲜半岛，也被用于中药。</w:t>
      </w:r>
      <w:r>
        <w:rPr>
          <w:rFonts w:eastAsia="宋体" w:cs="Times New Roman"/>
          <w:sz w:val="24"/>
          <w:szCs w:val="24"/>
        </w:rPr>
        <w:t>到了2010年，《中国药典》将巫山淫羊藿单列为一味中药，与淫羊藿并列。</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淫羊藿主要分布在中国、日本和韩国等东亚地区，在中国广泛分布在四川、湖北、陕西</w:t>
      </w:r>
      <w:r>
        <w:rPr>
          <w:rFonts w:hint="eastAsia" w:eastAsia="宋体" w:cs="Times New Roman"/>
          <w:sz w:val="24"/>
          <w:szCs w:val="24"/>
        </w:rPr>
        <w:t>、甘肃</w:t>
      </w:r>
      <w:r>
        <w:rPr>
          <w:rFonts w:eastAsia="宋体" w:cs="Times New Roman"/>
          <w:sz w:val="24"/>
          <w:szCs w:val="24"/>
        </w:rPr>
        <w:t>等地。淫羊藿因其具有一定的药用价值而闻名，传统中医认为其有补肾壮阳、强筋骨、抗疲劳等功效。淫羊藿含有多种活性物质，如黄酮类化合物（例如淫羊藿苷）、多糖、生物碱等，这些成分被认为是其药理作用的基础。现代医学已证实：</w:t>
      </w:r>
      <w:r>
        <w:rPr>
          <w:rFonts w:hint="eastAsia" w:ascii="宋体" w:hAnsi="宋体" w:eastAsia="宋体" w:cs="宋体"/>
          <w:sz w:val="24"/>
          <w:szCs w:val="24"/>
        </w:rPr>
        <w:t>①</w:t>
      </w:r>
      <w:r>
        <w:rPr>
          <w:rFonts w:eastAsia="宋体" w:cs="Times New Roman"/>
          <w:sz w:val="24"/>
          <w:szCs w:val="24"/>
        </w:rPr>
        <w:t>淫羊藿可以改善男性性功能障碍，提高性欲。</w:t>
      </w:r>
      <w:r>
        <w:rPr>
          <w:rFonts w:hint="eastAsia" w:ascii="宋体" w:hAnsi="宋体" w:eastAsia="宋体" w:cs="宋体"/>
          <w:sz w:val="24"/>
          <w:szCs w:val="24"/>
        </w:rPr>
        <w:t>②</w:t>
      </w:r>
      <w:r>
        <w:rPr>
          <w:rFonts w:eastAsia="宋体" w:cs="Times New Roman"/>
          <w:sz w:val="24"/>
          <w:szCs w:val="24"/>
        </w:rPr>
        <w:t>淫羊藿中的某些成分具有良好的抗氧化性能，有助于延缓衰老过程。</w:t>
      </w:r>
      <w:r>
        <w:rPr>
          <w:rFonts w:hint="eastAsia" w:ascii="宋体" w:hAnsi="宋体" w:eastAsia="宋体" w:cs="宋体"/>
          <w:sz w:val="24"/>
          <w:szCs w:val="24"/>
        </w:rPr>
        <w:t>③</w:t>
      </w:r>
      <w:r>
        <w:rPr>
          <w:rFonts w:eastAsia="宋体" w:cs="Times New Roman"/>
          <w:sz w:val="24"/>
          <w:szCs w:val="24"/>
        </w:rPr>
        <w:t>淫羊藿能够增强机体免疫功能。</w:t>
      </w:r>
      <w:r>
        <w:rPr>
          <w:rFonts w:hint="eastAsia" w:ascii="宋体" w:hAnsi="宋体" w:eastAsia="宋体" w:cs="宋体"/>
          <w:sz w:val="24"/>
          <w:szCs w:val="24"/>
        </w:rPr>
        <w:t>④</w:t>
      </w:r>
      <w:r>
        <w:rPr>
          <w:rFonts w:eastAsia="宋体" w:cs="Times New Roman"/>
          <w:sz w:val="24"/>
          <w:szCs w:val="24"/>
        </w:rPr>
        <w:t>淫羊藿对心脏有一定的保护作用，可帮助降低血压。近年来，随着人们对健康的日益重视以及对传统草药认识的加深，淫羊藿作为保健品和药品原料的需求量逐渐增加。特别是在中老年人群中，由于其宣称的抗衰老和增强性功能的效果，受到了较多的关注。此外，随着科学研究的深入，淫羊藿在国际市场上也逐渐获得了认可，成为一种具有潜力的天然药物资源。</w:t>
      </w:r>
      <w:r>
        <w:rPr>
          <w:rFonts w:hint="eastAsia" w:eastAsia="宋体" w:cs="Times New Roman"/>
          <w:sz w:val="24"/>
          <w:szCs w:val="24"/>
        </w:rPr>
        <w:t>淫羊藿素软胶囊于2</w:t>
      </w:r>
      <w:r>
        <w:rPr>
          <w:rFonts w:eastAsia="宋体" w:cs="Times New Roman"/>
          <w:sz w:val="24"/>
          <w:szCs w:val="24"/>
        </w:rPr>
        <w:t>022</w:t>
      </w:r>
      <w:r>
        <w:rPr>
          <w:rFonts w:hint="eastAsia" w:eastAsia="宋体" w:cs="Times New Roman"/>
          <w:sz w:val="24"/>
          <w:szCs w:val="24"/>
        </w:rPr>
        <w:t>年初附条件获批上市，用于不适合或患者拒绝接受标准治疗，且既往未接受过全身系统性治疗的、不可切除的肝细胞癌。作为2022年CDE批准上市的首个国产创新药，淫羊藿素软胶囊不仅为中国晚期肝细胞癌治疗提供了新的选择，造福亟待更优治疗药物的患者，更是对传统医学创新模式及成果的肯定，临床应用的市场空间增长潜力可期。</w:t>
      </w:r>
      <w:r>
        <w:rPr>
          <w:rFonts w:eastAsia="宋体" w:cs="Times New Roman"/>
          <w:sz w:val="24"/>
          <w:szCs w:val="24"/>
        </w:rPr>
        <w:t>总之，淫羊藿作为一种传统药材，在现代医药和保健领域展现出了广阔的应用前景，但其具体效果还需更多科学研究来验证。</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我国在淫羊藿资源保育和可持续利用方面的研究起步较晚，近年来才开始了一些资源调查和保护生物学的遗传多样性与居群遗传学研究。随着近几年来我国药材GAP规范的开展，贵州、吉林等省开始了淫羊藿的人工驯化栽培和规范化种植基地建设。这些工作主要包括淫羊藿资源与生境调查、品质分析与筛选、繁殖材料保存与繁殖技术初步研究、种苗培育管理、采收加工等规程的制定。国药集团同济堂（贵州）制药有限公司自1999年起开始淫羊藿的种植，至今在贵州江口、雷山、三穗、贵阳以及四川乐山等地建立了约1500亩的良种繁育及药材种植试验示范基地。此外，其采用“定制药园”模式，与地方种植企业及村集体合作社等合作，成功在贵州从江、江口等地推广淫羊藿药材种植，基地面积超过7000亩。在四川青川，淫羊藿种植已成为当地农民致富的重要途径。当地政府支持和带动下，种植淫羊藿100余亩，每亩年产值可达15000元。综上所述，淫羊藿产业历史悠久，从古至今一直作为药用植物被广泛使用，并在现代得到了规范化种植和产业化发展。全国范围内，淫羊藿的种植规模不断扩大，从几百亩到几千亩不等，主要集中在四川、重庆、湖南、甘肃等地区。淫羊藿的亩产量和产值因地区和技术水平的不同而有所差异，但总体来看，淫羊藿的种植效益较高，已成为许多地区农民增收的重要途径。未来，随着种植技术的进一步提升和市场需求的增加，淫羊藿的种植规模和产值有望继续增长。</w:t>
      </w:r>
    </w:p>
    <w:p>
      <w:pPr>
        <w:adjustRightInd w:val="0"/>
        <w:snapToGrid w:val="0"/>
        <w:spacing w:line="360" w:lineRule="auto"/>
        <w:ind w:firstLine="480" w:firstLineChars="200"/>
        <w:rPr>
          <w:rFonts w:hint="eastAsia" w:ascii="宋体" w:hAnsi="宋体" w:eastAsia="宋体"/>
          <w:sz w:val="24"/>
          <w:szCs w:val="24"/>
        </w:rPr>
      </w:pPr>
      <w:r>
        <w:rPr>
          <w:rFonts w:hint="eastAsia" w:eastAsia="宋体" w:cs="Times New Roman"/>
          <w:sz w:val="24"/>
          <w:szCs w:val="24"/>
        </w:rPr>
        <w:t>陕西地处中国西北部，地形多样，包括高原、山地和平原，尤其是秦巴山区的汉中、</w:t>
      </w:r>
      <w:r>
        <w:rPr>
          <w:rFonts w:hint="eastAsia" w:eastAsia="宋体" w:cs="Times New Roman"/>
          <w:sz w:val="24"/>
          <w:szCs w:val="24"/>
          <w:lang w:eastAsia="zh-CN"/>
        </w:rPr>
        <w:t>安康、</w:t>
      </w:r>
      <w:r>
        <w:rPr>
          <w:rFonts w:hint="eastAsia" w:eastAsia="宋体" w:cs="Times New Roman"/>
          <w:sz w:val="24"/>
          <w:szCs w:val="24"/>
        </w:rPr>
        <w:t>商洛等地气候温和湿润，四季分明，降雨量适中，非常符合淫羊藿喜阴湿、耐寒的生长习性。此外，土壤多为微酸性，土层深厚，有机质丰富，排水良好，是淫羊藿的适宜生长区。秦巴山区是中国淫羊藿的主要分布区之一，野生淫羊藿资源众多，这为人工种植提供了丰富的种质资源。项目组自2</w:t>
      </w:r>
      <w:r>
        <w:rPr>
          <w:rFonts w:eastAsia="宋体" w:cs="Times New Roman"/>
          <w:sz w:val="24"/>
          <w:szCs w:val="24"/>
        </w:rPr>
        <w:t>018</w:t>
      </w:r>
      <w:r>
        <w:rPr>
          <w:rFonts w:hint="eastAsia" w:eastAsia="宋体" w:cs="Times New Roman"/>
          <w:sz w:val="24"/>
          <w:szCs w:val="24"/>
        </w:rPr>
        <w:t>年起，在我省汉中宁强县、镇巴县，商洛市柞水县，宝鸡市太白县等地开展了淫羊藿引种栽培对比试验，观察了淫羊藿的</w:t>
      </w:r>
      <w:r>
        <w:rPr>
          <w:rFonts w:hint="eastAsia" w:ascii="宋体" w:hAnsi="宋体" w:eastAsia="宋体"/>
          <w:sz w:val="24"/>
          <w:szCs w:val="24"/>
        </w:rPr>
        <w:t>生物学特性和种子萌发、生长、开花、结实、抗性等农艺学性状，建立了科学种植示范基地，总结制定了适合当地淫羊藿栽培的系列配套技术，并形成了技术成果，为我省发展淫羊藿产业创造了有利条件。</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目前我省淫羊藿栽植虽取得了一定的成效，但栽植中存在许多问题，严重制约了淫羊藿产业的健康发展：</w:t>
      </w:r>
      <w:r>
        <w:rPr>
          <w:rFonts w:hint="eastAsia" w:eastAsia="宋体" w:cs="Times New Roman"/>
          <w:b/>
          <w:sz w:val="24"/>
          <w:szCs w:val="24"/>
          <w:lang w:eastAsia="zh-CN"/>
        </w:rPr>
        <w:t>一是</w:t>
      </w:r>
      <w:r>
        <w:rPr>
          <w:rFonts w:eastAsia="宋体" w:cs="Times New Roman"/>
          <w:b/>
          <w:sz w:val="24"/>
          <w:szCs w:val="24"/>
        </w:rPr>
        <w:t>经营管理粗放：</w:t>
      </w:r>
      <w:r>
        <w:rPr>
          <w:rFonts w:eastAsia="宋体" w:cs="Times New Roman"/>
          <w:sz w:val="24"/>
          <w:szCs w:val="24"/>
        </w:rPr>
        <w:t>林下种植淫羊藿普遍比较分散、规模不足，且</w:t>
      </w:r>
      <w:r>
        <w:rPr>
          <w:rFonts w:hint="eastAsia" w:eastAsia="宋体" w:cs="Times New Roman"/>
          <w:sz w:val="24"/>
          <w:szCs w:val="24"/>
        </w:rPr>
        <w:t>选址不合理</w:t>
      </w:r>
      <w:r>
        <w:rPr>
          <w:rFonts w:eastAsia="宋体" w:cs="Times New Roman"/>
          <w:sz w:val="24"/>
          <w:szCs w:val="24"/>
        </w:rPr>
        <w:t>，种植技术支撑严重缺乏，淫羊藿产量较低。</w:t>
      </w:r>
      <w:r>
        <w:rPr>
          <w:rFonts w:hint="eastAsia" w:eastAsia="宋体" w:cs="Times New Roman"/>
          <w:b/>
          <w:sz w:val="24"/>
          <w:szCs w:val="24"/>
          <w:lang w:eastAsia="zh-CN"/>
        </w:rPr>
        <w:t>二是</w:t>
      </w:r>
      <w:r>
        <w:rPr>
          <w:rFonts w:eastAsia="宋体" w:cs="Times New Roman"/>
          <w:b/>
          <w:sz w:val="24"/>
          <w:szCs w:val="24"/>
        </w:rPr>
        <w:t>缺乏规模化种植示范基地建设：</w:t>
      </w:r>
      <w:r>
        <w:rPr>
          <w:rFonts w:eastAsia="宋体" w:cs="Times New Roman"/>
          <w:sz w:val="24"/>
          <w:szCs w:val="24"/>
        </w:rPr>
        <w:t>淫羊藿种植缺乏相对应的生产技术标准，且相关规模经营主体生产管理制度、规范包装标识、自检自控机制等建设不足，亟须建设规范化道地药材种植示范基地，指导生产经营主体规模化、标准化、生态化发展。</w:t>
      </w:r>
      <w:r>
        <w:rPr>
          <w:rFonts w:hint="eastAsia" w:eastAsia="宋体" w:cs="Times New Roman"/>
          <w:b/>
          <w:sz w:val="24"/>
          <w:szCs w:val="24"/>
          <w:lang w:eastAsia="zh-CN"/>
        </w:rPr>
        <w:t>三是</w:t>
      </w:r>
      <w:r>
        <w:rPr>
          <w:rFonts w:eastAsia="宋体" w:cs="Times New Roman"/>
          <w:b/>
          <w:sz w:val="24"/>
          <w:szCs w:val="24"/>
        </w:rPr>
        <w:t>水资源管理问题：</w:t>
      </w:r>
      <w:r>
        <w:rPr>
          <w:rFonts w:eastAsia="宋体" w:cs="Times New Roman"/>
          <w:sz w:val="24"/>
          <w:szCs w:val="24"/>
        </w:rPr>
        <w:t>淫羊藿维持正常生长需水量较苛刻，不耐旱不耐涝，应在栽培管理中合理灌溉，生长季遇多雨季节，要注意及时排水防涝害。</w:t>
      </w:r>
      <w:r>
        <w:rPr>
          <w:rFonts w:hint="eastAsia" w:eastAsia="宋体" w:cs="Times New Roman"/>
          <w:b/>
          <w:sz w:val="24"/>
          <w:szCs w:val="24"/>
          <w:lang w:eastAsia="zh-CN"/>
        </w:rPr>
        <w:t>四是</w:t>
      </w:r>
      <w:r>
        <w:rPr>
          <w:rFonts w:eastAsia="宋体" w:cs="Times New Roman"/>
          <w:b/>
          <w:sz w:val="24"/>
          <w:szCs w:val="24"/>
        </w:rPr>
        <w:t>光照管理问题：</w:t>
      </w:r>
      <w:r>
        <w:rPr>
          <w:rFonts w:eastAsia="宋体" w:cs="Times New Roman"/>
          <w:sz w:val="24"/>
          <w:szCs w:val="24"/>
        </w:rPr>
        <w:t>淫羊藿喜阴不喜阳光直射，在林下栽培中可用遮阳网或遮阳棚进行遮光，如果树林郁闭度较大，可以通过疏整树冠等方法调节光照强度。</w:t>
      </w:r>
      <w:r>
        <w:rPr>
          <w:rFonts w:hint="eastAsia" w:eastAsia="宋体" w:cs="Times New Roman"/>
          <w:b/>
          <w:sz w:val="24"/>
          <w:szCs w:val="24"/>
          <w:lang w:eastAsia="zh-CN"/>
        </w:rPr>
        <w:t>五是</w:t>
      </w:r>
      <w:r>
        <w:rPr>
          <w:rFonts w:eastAsia="宋体" w:cs="Times New Roman"/>
          <w:b/>
          <w:sz w:val="24"/>
          <w:szCs w:val="24"/>
        </w:rPr>
        <w:t>病虫害防治问题：</w:t>
      </w:r>
      <w:r>
        <w:rPr>
          <w:rFonts w:eastAsia="宋体" w:cs="Times New Roman"/>
          <w:sz w:val="24"/>
          <w:szCs w:val="24"/>
        </w:rPr>
        <w:t>淫羊藿在林下种植过程中可能会遇到病虫害问题，需要根据具体情况采取相应的防治措施，如叶褐斑枯病、皱缩病毒病和锈病等，这些病虫害会影响淫羊藿的生长和产量。</w:t>
      </w:r>
      <w:r>
        <w:rPr>
          <w:rFonts w:hint="eastAsia" w:eastAsia="宋体" w:cs="Times New Roman"/>
          <w:b/>
          <w:sz w:val="24"/>
          <w:szCs w:val="24"/>
          <w:lang w:eastAsia="zh-CN"/>
        </w:rPr>
        <w:t>六是</w:t>
      </w:r>
      <w:r>
        <w:rPr>
          <w:rFonts w:hint="eastAsia" w:eastAsia="宋体" w:cs="Times New Roman"/>
          <w:b/>
          <w:sz w:val="24"/>
          <w:szCs w:val="24"/>
        </w:rPr>
        <w:t>土壤及</w:t>
      </w:r>
      <w:r>
        <w:rPr>
          <w:rFonts w:eastAsia="宋体" w:cs="Times New Roman"/>
          <w:b/>
          <w:sz w:val="24"/>
          <w:szCs w:val="24"/>
        </w:rPr>
        <w:t>养分管理问题：</w:t>
      </w:r>
      <w:r>
        <w:rPr>
          <w:rFonts w:eastAsia="宋体" w:cs="Times New Roman"/>
          <w:sz w:val="24"/>
          <w:szCs w:val="24"/>
        </w:rPr>
        <w:t>淫羊藿对养分的要求较高，需要丰富的有机质、适量的氮磷钾肥、适宜的土壤pH值以及特定的土壤质地，这些条件共同影响着淫羊藿的生长和发育。</w:t>
      </w:r>
      <w:r>
        <w:rPr>
          <w:rFonts w:hint="eastAsia" w:eastAsia="宋体" w:cs="Times New Roman"/>
          <w:b/>
          <w:sz w:val="24"/>
          <w:szCs w:val="24"/>
          <w:lang w:eastAsia="zh-CN"/>
        </w:rPr>
        <w:t>七是</w:t>
      </w:r>
      <w:r>
        <w:rPr>
          <w:rFonts w:hint="eastAsia" w:eastAsia="宋体" w:cs="Times New Roman"/>
          <w:b/>
          <w:sz w:val="24"/>
          <w:szCs w:val="24"/>
        </w:rPr>
        <w:t>栽植技术照搬照抄：</w:t>
      </w:r>
      <w:r>
        <w:rPr>
          <w:rFonts w:hint="eastAsia" w:eastAsia="宋体" w:cs="Times New Roman"/>
          <w:sz w:val="24"/>
          <w:szCs w:val="24"/>
        </w:rPr>
        <w:t>很多县区直接照搬其他省份的技术标准，造成技术的“水土不服”，给当地淫羊藿生产造成极大损失。</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陕西省林下栽植淫羊藿具有独特的地缘优势，适宜的气候和丰富的野生资源使其成为理想的种植区域。秦巴山区的地理特点决定了淫羊藿林下栽植的特殊性和复杂性。截至项目申报时，我省还没有形成完整、统一、规范的省级及地市级地方标准。因此，围绕我省淫羊藿林下栽植中存在的关键性、制约性技术问题，结合我省淫羊藿生产实际，从林地选择、种苗质量、栽植技术、栽培管理、病虫害防治等各个技术环节制定统一标准，形成配套的适用性栽植技术规程，对规范和指导我省淫羊藿产业的健康快速发展具有极其重要的现实意义。</w:t>
      </w:r>
    </w:p>
    <w:p>
      <w:pPr>
        <w:adjustRightInd w:val="0"/>
        <w:snapToGrid w:val="0"/>
        <w:spacing w:line="360" w:lineRule="auto"/>
        <w:ind w:firstLine="481" w:firstLineChars="200"/>
        <w:rPr>
          <w:rFonts w:eastAsia="宋体" w:cs="Times New Roman"/>
          <w:b/>
          <w:sz w:val="24"/>
          <w:szCs w:val="24"/>
        </w:rPr>
      </w:pPr>
      <w:r>
        <w:rPr>
          <w:rFonts w:eastAsia="宋体" w:cs="Times New Roman"/>
          <w:b/>
          <w:sz w:val="24"/>
          <w:szCs w:val="24"/>
        </w:rPr>
        <w:t>（二）任务来源、主要起草单位及主要起草人</w:t>
      </w:r>
    </w:p>
    <w:p>
      <w:pPr>
        <w:adjustRightInd w:val="0"/>
        <w:snapToGrid w:val="0"/>
        <w:spacing w:line="360" w:lineRule="auto"/>
        <w:ind w:firstLine="481" w:firstLineChars="200"/>
        <w:rPr>
          <w:rFonts w:eastAsia="宋体" w:cs="Times New Roman"/>
          <w:b/>
          <w:color w:val="000000" w:themeColor="text1"/>
          <w:sz w:val="24"/>
          <w:szCs w:val="24"/>
          <w14:textFill>
            <w14:solidFill>
              <w14:schemeClr w14:val="tx1"/>
            </w14:solidFill>
          </w14:textFill>
        </w:rPr>
      </w:pPr>
      <w:r>
        <w:rPr>
          <w:rFonts w:eastAsia="宋体" w:cs="Times New Roman"/>
          <w:b/>
          <w:color w:val="000000" w:themeColor="text1"/>
          <w:sz w:val="24"/>
          <w:szCs w:val="24"/>
          <w14:textFill>
            <w14:solidFill>
              <w14:schemeClr w14:val="tx1"/>
            </w14:solidFill>
          </w14:textFill>
        </w:rPr>
        <w:t>1.任务来源</w:t>
      </w:r>
    </w:p>
    <w:p>
      <w:pPr>
        <w:adjustRightInd w:val="0"/>
        <w:snapToGrid w:val="0"/>
        <w:spacing w:line="360" w:lineRule="auto"/>
        <w:ind w:firstLine="480" w:firstLineChars="200"/>
        <w:rPr>
          <w:rFonts w:eastAsia="宋体" w:cs="Times New Roman"/>
          <w:sz w:val="24"/>
          <w:szCs w:val="24"/>
        </w:rPr>
      </w:pPr>
      <w:r>
        <w:rPr>
          <w:rFonts w:eastAsia="宋体" w:cs="Times New Roman"/>
          <w:color w:val="000000" w:themeColor="text1"/>
          <w:sz w:val="24"/>
          <w:szCs w:val="24"/>
          <w14:textFill>
            <w14:solidFill>
              <w14:schemeClr w14:val="tx1"/>
            </w14:solidFill>
          </w14:textFill>
        </w:rPr>
        <w:t>本标准制订计划由陕西省林业科技推广与国际项目管理中心（原陕西省林业技术推广总站）提出，经陕西省市场监督管理局批准，正式列入20</w:t>
      </w:r>
      <w:r>
        <w:rPr>
          <w:rFonts w:hint="eastAsia" w:eastAsia="宋体" w:cs="Times New Roman"/>
          <w:color w:val="000000" w:themeColor="text1"/>
          <w:sz w:val="24"/>
          <w:szCs w:val="24"/>
          <w:lang w:val="en-US" w:eastAsia="zh-CN"/>
          <w14:textFill>
            <w14:solidFill>
              <w14:schemeClr w14:val="tx1"/>
            </w14:solidFill>
          </w14:textFill>
        </w:rPr>
        <w:t>23</w:t>
      </w:r>
      <w:r>
        <w:rPr>
          <w:rFonts w:eastAsia="宋体" w:cs="Times New Roman"/>
          <w:color w:val="000000" w:themeColor="text1"/>
          <w:sz w:val="24"/>
          <w:szCs w:val="24"/>
          <w14:textFill>
            <w14:solidFill>
              <w14:schemeClr w14:val="tx1"/>
            </w14:solidFill>
          </w14:textFill>
        </w:rPr>
        <w:t>年陕西省地方标准制（修）订计划项目，项目编号为</w:t>
      </w:r>
      <w:r>
        <w:rPr>
          <w:rFonts w:hint="eastAsia" w:eastAsia="宋体" w:cs="Times New Roman"/>
          <w:color w:val="000000" w:themeColor="text1"/>
          <w:sz w:val="24"/>
          <w:szCs w:val="24"/>
          <w14:textFill>
            <w14:solidFill>
              <w14:schemeClr w14:val="tx1"/>
            </w14:solidFill>
          </w14:textFill>
        </w:rPr>
        <w:t>SDBXM255-2023</w:t>
      </w:r>
      <w:r>
        <w:rPr>
          <w:rFonts w:eastAsia="宋体" w:cs="Times New Roman"/>
          <w:color w:val="000000" w:themeColor="text1"/>
          <w:sz w:val="24"/>
          <w:szCs w:val="24"/>
          <w14:textFill>
            <w14:solidFill>
              <w14:schemeClr w14:val="tx1"/>
            </w14:solidFill>
          </w14:textFill>
        </w:rPr>
        <w:t>，项目名称为</w:t>
      </w:r>
      <w:r>
        <w:rPr>
          <w:rFonts w:eastAsia="宋体" w:cs="Times New Roman"/>
          <w:sz w:val="24"/>
          <w:szCs w:val="24"/>
        </w:rPr>
        <w:t>《</w:t>
      </w:r>
      <w:r>
        <w:rPr>
          <w:rFonts w:hint="eastAsia" w:eastAsia="宋体" w:cs="Times New Roman"/>
          <w:sz w:val="24"/>
          <w:szCs w:val="24"/>
        </w:rPr>
        <w:t>林下巫山淫羊藿栽培技术规程</w:t>
      </w:r>
      <w:r>
        <w:rPr>
          <w:rFonts w:eastAsia="宋体" w:cs="Times New Roman"/>
          <w:sz w:val="24"/>
          <w:szCs w:val="24"/>
        </w:rPr>
        <w:t>》，归口陕西省林业局，陕西省林业科技推广与国际项目管理中心（原陕西省林业技术推广总站）</w:t>
      </w:r>
      <w:r>
        <w:rPr>
          <w:rFonts w:hint="eastAsia" w:eastAsia="宋体" w:cs="Times New Roman"/>
          <w:sz w:val="24"/>
          <w:szCs w:val="24"/>
        </w:rPr>
        <w:t>、陕西中医药大学和陕西建邑农林科技开发有限公司</w:t>
      </w:r>
      <w:r>
        <w:rPr>
          <w:rFonts w:eastAsia="宋体" w:cs="Times New Roman"/>
          <w:sz w:val="24"/>
          <w:szCs w:val="24"/>
        </w:rPr>
        <w:t>为主要承担单位，负责组织该标准的制订工作。</w:t>
      </w:r>
      <w:r>
        <w:rPr>
          <w:rFonts w:hint="eastAsia" w:eastAsia="宋体" w:cs="Times New Roman"/>
          <w:sz w:val="24"/>
          <w:szCs w:val="24"/>
        </w:rPr>
        <w:t xml:space="preserve"> </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2.标准主要起草单位及人员</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陕西省林业科技推广与国际项目管理中心，主要从事林业生产适用新技术的研究、引进、试验、示范、推广工作，并在林业标准制修订方面具有丰富的经验和雄厚的技术实力。近年来先后制订了《核桃丰产栽培技术规程》等14项国家级、省级核桃技术标准，《花椒标准综合体》6项省级标准等，这些标准已颁布并实施。</w:t>
      </w:r>
      <w:r>
        <w:rPr>
          <w:rFonts w:hint="eastAsia" w:eastAsia="宋体" w:cs="Times New Roman"/>
          <w:sz w:val="24"/>
          <w:szCs w:val="24"/>
        </w:rPr>
        <w:t>陕西中医药大学陕西中药资源产业化省部共建协同创新中心，主要从事中药资源的多样化利用，并在中药材的种植技术上具有深厚的技术底蕴。</w:t>
      </w:r>
      <w:r>
        <w:rPr>
          <w:rFonts w:eastAsia="宋体" w:cs="Times New Roman"/>
          <w:sz w:val="24"/>
          <w:szCs w:val="24"/>
        </w:rPr>
        <w:t>项目组主要技术人员</w:t>
      </w:r>
      <w:r>
        <w:rPr>
          <w:rFonts w:hint="eastAsia" w:eastAsia="宋体" w:cs="Times New Roman"/>
          <w:sz w:val="24"/>
          <w:szCs w:val="24"/>
        </w:rPr>
        <w:t>自</w:t>
      </w:r>
      <w:r>
        <w:rPr>
          <w:rFonts w:eastAsia="宋体" w:cs="Times New Roman"/>
          <w:sz w:val="24"/>
          <w:szCs w:val="24"/>
        </w:rPr>
        <w:t>2018年开始从事</w:t>
      </w:r>
      <w:r>
        <w:rPr>
          <w:rFonts w:hint="eastAsia" w:eastAsia="宋体" w:cs="Times New Roman"/>
          <w:sz w:val="24"/>
          <w:szCs w:val="24"/>
        </w:rPr>
        <w:t>淫羊藿</w:t>
      </w:r>
      <w:r>
        <w:rPr>
          <w:rFonts w:eastAsia="宋体" w:cs="Times New Roman"/>
          <w:sz w:val="24"/>
          <w:szCs w:val="24"/>
        </w:rPr>
        <w:t>种植</w:t>
      </w:r>
      <w:r>
        <w:rPr>
          <w:rFonts w:hint="eastAsia" w:eastAsia="宋体" w:cs="Times New Roman"/>
          <w:sz w:val="24"/>
          <w:szCs w:val="24"/>
        </w:rPr>
        <w:t>技术研究</w:t>
      </w:r>
      <w:r>
        <w:rPr>
          <w:rFonts w:eastAsia="宋体" w:cs="Times New Roman"/>
          <w:sz w:val="24"/>
          <w:szCs w:val="24"/>
        </w:rPr>
        <w:t>，承担实施了</w:t>
      </w:r>
      <w:r>
        <w:rPr>
          <w:rFonts w:ascii="宋体" w:hAnsi="宋体" w:eastAsia="宋体" w:cs="Times New Roman"/>
          <w:sz w:val="24"/>
          <w:szCs w:val="24"/>
        </w:rPr>
        <w:t>“</w:t>
      </w:r>
      <w:r>
        <w:rPr>
          <w:rFonts w:hint="eastAsia" w:ascii="宋体" w:hAnsi="宋体" w:eastAsia="宋体" w:cs="Times New Roman"/>
          <w:sz w:val="24"/>
          <w:szCs w:val="24"/>
        </w:rPr>
        <w:t>汉中市宁强县淫羊藿生态种植模式的示范与推广</w:t>
      </w:r>
      <w:r>
        <w:rPr>
          <w:rFonts w:ascii="宋体" w:hAnsi="宋体" w:eastAsia="宋体" w:cs="Times New Roman"/>
          <w:sz w:val="24"/>
          <w:szCs w:val="24"/>
        </w:rPr>
        <w:t>”、“</w:t>
      </w:r>
      <w:r>
        <w:rPr>
          <w:rFonts w:hint="eastAsia" w:ascii="宋体" w:hAnsi="宋体" w:eastAsia="宋体" w:cs="Times New Roman"/>
          <w:sz w:val="24"/>
          <w:szCs w:val="24"/>
        </w:rPr>
        <w:t>箭叶淫羊藿生理生态特征、土壤环境及药用次生代谢物对不同种植模式的响应</w:t>
      </w:r>
      <w:r>
        <w:rPr>
          <w:rFonts w:ascii="宋体" w:hAnsi="宋体" w:eastAsia="宋体" w:cs="Times New Roman"/>
          <w:sz w:val="24"/>
          <w:szCs w:val="24"/>
        </w:rPr>
        <w:t>”</w:t>
      </w:r>
      <w:r>
        <w:rPr>
          <w:rFonts w:hint="eastAsia" w:ascii="宋体" w:hAnsi="宋体" w:eastAsia="宋体" w:cs="Times New Roman"/>
          <w:sz w:val="24"/>
          <w:szCs w:val="24"/>
        </w:rPr>
        <w:t>及“秦巴山区连翘、五味子、淫羊藿、猪苓等中药材生态种植与品质提升关键技术集成与示范”</w:t>
      </w:r>
      <w:r>
        <w:rPr>
          <w:rFonts w:eastAsia="宋体" w:cs="Times New Roman"/>
          <w:sz w:val="24"/>
          <w:szCs w:val="24"/>
        </w:rPr>
        <w:t>等研究及示范推广项目，掌握了</w:t>
      </w:r>
      <w:r>
        <w:rPr>
          <w:rFonts w:hint="eastAsia" w:eastAsia="宋体" w:cs="Times New Roman"/>
          <w:sz w:val="24"/>
          <w:szCs w:val="24"/>
        </w:rPr>
        <w:t>淫羊藿</w:t>
      </w:r>
      <w:r>
        <w:rPr>
          <w:rFonts w:eastAsia="宋体" w:cs="Times New Roman"/>
          <w:sz w:val="24"/>
          <w:szCs w:val="24"/>
        </w:rPr>
        <w:t>的生态适应性，总结出了一系列栽培技术，形成了技术成果。在开展试验研究的同时，项目组与</w:t>
      </w:r>
      <w:r>
        <w:rPr>
          <w:rFonts w:hint="eastAsia" w:eastAsia="宋体" w:cs="Times New Roman"/>
          <w:sz w:val="24"/>
          <w:szCs w:val="24"/>
        </w:rPr>
        <w:t>宁强</w:t>
      </w:r>
      <w:r>
        <w:rPr>
          <w:rFonts w:eastAsia="宋体" w:cs="Times New Roman"/>
          <w:sz w:val="24"/>
          <w:szCs w:val="24"/>
        </w:rPr>
        <w:t>县、</w:t>
      </w:r>
      <w:r>
        <w:rPr>
          <w:rFonts w:hint="eastAsia" w:eastAsia="宋体" w:cs="Times New Roman"/>
          <w:sz w:val="24"/>
          <w:szCs w:val="24"/>
        </w:rPr>
        <w:t>镇巴</w:t>
      </w:r>
      <w:r>
        <w:rPr>
          <w:rFonts w:eastAsia="宋体" w:cs="Times New Roman"/>
          <w:sz w:val="24"/>
          <w:szCs w:val="24"/>
        </w:rPr>
        <w:t>县、</w:t>
      </w:r>
      <w:r>
        <w:rPr>
          <w:rFonts w:hint="eastAsia" w:eastAsia="宋体" w:cs="Times New Roman"/>
          <w:sz w:val="24"/>
          <w:szCs w:val="24"/>
        </w:rPr>
        <w:t>柞水</w:t>
      </w:r>
      <w:r>
        <w:rPr>
          <w:rFonts w:eastAsia="宋体" w:cs="Times New Roman"/>
          <w:sz w:val="24"/>
          <w:szCs w:val="24"/>
        </w:rPr>
        <w:t>县</w:t>
      </w:r>
      <w:r>
        <w:rPr>
          <w:rFonts w:hint="eastAsia" w:eastAsia="宋体" w:cs="Times New Roman"/>
          <w:sz w:val="24"/>
          <w:szCs w:val="24"/>
        </w:rPr>
        <w:t>、太白县</w:t>
      </w:r>
      <w:r>
        <w:rPr>
          <w:rFonts w:eastAsia="宋体" w:cs="Times New Roman"/>
          <w:sz w:val="24"/>
          <w:szCs w:val="24"/>
        </w:rPr>
        <w:t>等省内</w:t>
      </w:r>
      <w:r>
        <w:rPr>
          <w:rFonts w:hint="eastAsia" w:eastAsia="宋体" w:cs="Times New Roman"/>
          <w:sz w:val="24"/>
          <w:szCs w:val="24"/>
        </w:rPr>
        <w:t>淫羊藿</w:t>
      </w:r>
      <w:r>
        <w:rPr>
          <w:rFonts w:eastAsia="宋体" w:cs="Times New Roman"/>
          <w:sz w:val="24"/>
          <w:szCs w:val="24"/>
        </w:rPr>
        <w:t>种植企业长期合作，将科研与生产实际充分结合，吸收省内外先进技术经验，巩固提高了我省</w:t>
      </w:r>
      <w:r>
        <w:rPr>
          <w:rFonts w:hint="eastAsia" w:eastAsia="宋体" w:cs="Times New Roman"/>
          <w:sz w:val="24"/>
          <w:szCs w:val="24"/>
        </w:rPr>
        <w:t>淫羊藿栽培</w:t>
      </w:r>
      <w:r>
        <w:rPr>
          <w:rFonts w:eastAsia="宋体" w:cs="Times New Roman"/>
          <w:sz w:val="24"/>
          <w:szCs w:val="24"/>
        </w:rPr>
        <w:t>质量，为我省</w:t>
      </w:r>
      <w:r>
        <w:rPr>
          <w:rFonts w:hint="eastAsia" w:eastAsia="宋体" w:cs="Times New Roman"/>
          <w:sz w:val="24"/>
          <w:szCs w:val="24"/>
        </w:rPr>
        <w:t>淫羊藿</w:t>
      </w:r>
      <w:r>
        <w:rPr>
          <w:rFonts w:eastAsia="宋体" w:cs="Times New Roman"/>
          <w:sz w:val="24"/>
          <w:szCs w:val="24"/>
        </w:rPr>
        <w:t>产业的发展提供了示范样板。</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本标准主要起草单位：</w:t>
      </w:r>
      <w:r>
        <w:rPr>
          <w:rFonts w:hint="eastAsia" w:eastAsia="宋体" w:cs="Times New Roman"/>
          <w:sz w:val="24"/>
          <w:szCs w:val="24"/>
        </w:rPr>
        <w:t>陕西省林业科技推广与国际项目管理中心（陕西省林业工作站）、陕西中医药大学、陕西建邑农林科技开发有限公司</w:t>
      </w:r>
      <w:r>
        <w:rPr>
          <w:rFonts w:eastAsia="宋体" w:cs="Times New Roman"/>
          <w:sz w:val="24"/>
          <w:szCs w:val="24"/>
        </w:rPr>
        <w:t>。</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本标准主要起草人：</w:t>
      </w:r>
      <w:r>
        <w:rPr>
          <w:rFonts w:hint="eastAsia" w:eastAsia="宋体" w:cs="Times New Roman"/>
          <w:sz w:val="24"/>
          <w:szCs w:val="24"/>
        </w:rPr>
        <w:t>刘毅 王楠 杨杰 林洋 吴晓凡 李天菊</w:t>
      </w:r>
      <w:r>
        <w:rPr>
          <w:rFonts w:hint="eastAsia" w:eastAsia="宋体" w:cs="Times New Roman"/>
          <w:sz w:val="24"/>
          <w:szCs w:val="24"/>
          <w:lang w:val="en-US" w:eastAsia="zh-CN"/>
        </w:rPr>
        <w:t xml:space="preserve"> </w:t>
      </w:r>
      <w:r>
        <w:rPr>
          <w:rFonts w:hint="eastAsia" w:eastAsia="宋体" w:cs="Times New Roman"/>
          <w:sz w:val="24"/>
          <w:szCs w:val="24"/>
        </w:rPr>
        <w:t>王娟</w:t>
      </w:r>
      <w:r>
        <w:rPr>
          <w:rFonts w:eastAsia="宋体" w:cs="Times New Roman"/>
          <w:sz w:val="24"/>
          <w:szCs w:val="24"/>
        </w:rPr>
        <w:t>。</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（三）简要起草过程</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1.成立起草组</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该任务下达后，陕西省林业科技管理与国际项目管理中心高度重视，成立了标准起草工作小组，确定参加该标准起草的工作组专家及成员，标准制订工作正式启动。</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2.制定工作方案</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起草工作组成立后，认真讨论和制定了实施方案，明确了项目负责人及分工。通过查阅相关文献资料，在广泛吸收国内外淫羊藿栽培技术成果的基础上，技术人员赴陕南淫羊藿种植生产企业实地调研考察，同时结合项目实施过程中的田间试验观察记载、数据分析整理，起草编制此技术规程。主要工作过程大致如下：</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资料查阅→实地调研→数据归纳整理、统计分析和验证→标准的起草制订→公示→征求意见→标准的完善修改→评审和进一步完善</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3.资料收集，实地调研，结合行业实际，确定标准基本框架及技术内容。</w:t>
      </w:r>
    </w:p>
    <w:p>
      <w:pPr>
        <w:adjustRightInd w:val="0"/>
        <w:snapToGrid w:val="0"/>
        <w:spacing w:line="360" w:lineRule="auto"/>
        <w:ind w:firstLine="481" w:firstLineChars="200"/>
        <w:rPr>
          <w:rFonts w:eastAsia="宋体" w:cs="Times New Roman"/>
          <w:sz w:val="24"/>
          <w:szCs w:val="24"/>
        </w:rPr>
      </w:pPr>
      <w:r>
        <w:rPr>
          <w:rFonts w:hint="eastAsia" w:eastAsia="宋体" w:cs="Times New Roman"/>
          <w:b/>
          <w:sz w:val="24"/>
          <w:szCs w:val="24"/>
        </w:rPr>
        <w:t>一是</w:t>
      </w:r>
      <w:r>
        <w:rPr>
          <w:rFonts w:hint="eastAsia" w:eastAsia="宋体" w:cs="Times New Roman"/>
          <w:sz w:val="24"/>
          <w:szCs w:val="24"/>
        </w:rPr>
        <w:t>通过国内外相关技术文献、理论及标准的搜集、整理、分析和研究，了解淫羊藿种植技术要素及国际、国内标准的制修订情况；</w:t>
      </w:r>
      <w:r>
        <w:rPr>
          <w:rFonts w:hint="eastAsia" w:eastAsia="宋体" w:cs="Times New Roman"/>
          <w:b/>
          <w:sz w:val="24"/>
          <w:szCs w:val="24"/>
        </w:rPr>
        <w:t>二是</w:t>
      </w:r>
      <w:r>
        <w:rPr>
          <w:rFonts w:hint="eastAsia" w:eastAsia="宋体" w:cs="Times New Roman"/>
          <w:sz w:val="24"/>
          <w:szCs w:val="24"/>
        </w:rPr>
        <w:t>通过深入省内淫羊藿种植企业实地考察调研，搜集我省淫羊藿行业生产基础数据，获取实际现状；</w:t>
      </w:r>
      <w:r>
        <w:rPr>
          <w:rFonts w:hint="eastAsia" w:eastAsia="宋体" w:cs="Times New Roman"/>
          <w:b/>
          <w:sz w:val="24"/>
          <w:szCs w:val="24"/>
        </w:rPr>
        <w:t>三是</w:t>
      </w:r>
      <w:r>
        <w:rPr>
          <w:rFonts w:hint="eastAsia" w:eastAsia="宋体" w:cs="Times New Roman"/>
          <w:sz w:val="24"/>
          <w:szCs w:val="24"/>
        </w:rPr>
        <w:t>结合项目实施过程中的田间试验观测记载、数据整理分析的第一手资料以及搜集到的文献数据，基本确定了本标准的编制思路、编制原则、适用范围和基本框架等，编写了工作组讨论稿。</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（1）查阅到相关标准</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从全国标准信息公共服务平台上，通过标准检索“淫羊藿”，查阅到的相关结果共计21个，其中国标计划1个，现行标准20个，废止1个。2018年之前颁布实施的共有3个。</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 GB/T 43810-2024 饲料添加剂淫羊藿提取物中黄酮醇苷的测定 高效液相色谱法</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[2] DB62/T 4916-2024 淫羊藿种苗繁育技术规程 （甘肃）</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[3] DB62/T 4915-2024 淫羊藿种子繁育技术规程 （甘肃）</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[4] DB43/T 3023-2024 箭叶淫羊藿种子育苗技术规程 （湖南）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[5] DB6107/T 50-2024 淫羊藿病虫害防治技术规程 （汉中）</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[6] DB6107/T 49-2024 淫羊藿栽培技术规程 （汉中）</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[7] DB6107/T 48-2024 淫羊藿种苗繁育技术规程 (汉中)</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[8] 20230865-T-424 保健食品中淫羊藿苷的测定</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[9] DB41/T 2450-2023 淫羊藿（箭叶淫羊藿）栽培技术规程 （河南）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[10] DB2106/T 002-2023淫羊藿栽培技术规程 （丹东）</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[11] DB43/T 2545-2023 箭叶淫羊藿林下栽培技术规程 （湖南）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[12] DB62/T 4420-2021 淫羊藿栽培技术规程 （甘肃）</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[13] DB42/T 1701.2-2021 中药材 箭叶淫羊藿生产技术规程 第2部分：大田栽培 （湖北）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[14] DB42/T 1701.1-2021 中药材 箭叶淫羊藿生产技术规程 第1部分：种苗繁育 （湖北）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[15] NY/T 3728-2020 植物品种特异性（可区别性）、一致性和稳定性测试指南淫羊藿属</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[16] DB22/T 1121-2020 地理标志产品 长白山淫羊藿 （吉林）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[17] LY/T 3094-2019 林下种植淫羊藿技术规程</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[18] DB22/T 1073-2011 绿色淫羊藿生产技术规程 （吉林）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[19] GB/T 22247-2008 保健食品中淫羊藿苷的测定</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[20] DB22/T 409-2005 保健食品中淫羊藿苷高效液相色谱法测定 （吉林）</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[21] DB41/T 2421-2023 淫羊藿（箭叶淫羊藿）加工技术规程 （河南）（废止）</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（2）相关技术文献</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在知网文献中检索篇名“淫羊藿”出现</w:t>
      </w:r>
      <w:r>
        <w:rPr>
          <w:rFonts w:eastAsia="宋体" w:cs="Times New Roman"/>
          <w:sz w:val="24"/>
          <w:szCs w:val="24"/>
        </w:rPr>
        <w:t>9331</w:t>
      </w:r>
      <w:r>
        <w:rPr>
          <w:rFonts w:hint="eastAsia" w:eastAsia="宋体" w:cs="Times New Roman"/>
          <w:sz w:val="24"/>
          <w:szCs w:val="24"/>
        </w:rPr>
        <w:t>条结果，在高级检索中以“主题=“淫羊藿”and全文=“栽培”为检索条件，出现</w:t>
      </w:r>
      <w:r>
        <w:rPr>
          <w:rFonts w:eastAsia="宋体" w:cs="Times New Roman"/>
          <w:sz w:val="24"/>
          <w:szCs w:val="24"/>
        </w:rPr>
        <w:t>423</w:t>
      </w:r>
      <w:r>
        <w:rPr>
          <w:rFonts w:hint="eastAsia" w:eastAsia="宋体" w:cs="Times New Roman"/>
          <w:sz w:val="24"/>
          <w:szCs w:val="24"/>
        </w:rPr>
        <w:t>条检索结果，淫羊藿文献较多。在此不一一列举。</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此外出版书籍有《淫羊藿种植技术》《淫羊藿施肥技术》《淫羊藿病虫害防治技术》《淫羊藿远志无公害高效栽培与加工》等。</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（3）实地调研</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重点调研的地点是宁强县、镇巴县、太白县、柞水县等省内淫羊藿主要生产种植企业。</w:t>
      </w:r>
    </w:p>
    <w:p>
      <w:pPr>
        <w:adjustRightInd w:val="0"/>
        <w:snapToGrid w:val="0"/>
        <w:ind w:firstLine="640" w:firstLineChars="200"/>
        <w:rPr>
          <w:rFonts w:eastAsia="宋体" w:cs="Times New Roman"/>
          <w:sz w:val="28"/>
          <w:szCs w:val="28"/>
        </w:rPr>
      </w:pPr>
      <w:r>
        <w:drawing>
          <wp:anchor distT="0" distB="0" distL="114300" distR="114300" simplePos="0" relativeHeight="251660288" behindDoc="0" locked="0" layoutInCell="1" allowOverlap="1">
            <wp:simplePos x="0" y="0"/>
            <wp:positionH relativeFrom="column">
              <wp:posOffset>2975610</wp:posOffset>
            </wp:positionH>
            <wp:positionV relativeFrom="paragraph">
              <wp:posOffset>6350</wp:posOffset>
            </wp:positionV>
            <wp:extent cx="2864485" cy="1908175"/>
            <wp:effectExtent l="0" t="0" r="0" b="0"/>
            <wp:wrapNone/>
            <wp:docPr id="2"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true" noChangeArrowheads="true"/>
                    </pic:cNvPicPr>
                  </pic:nvPicPr>
                  <pic:blipFill>
                    <a:blip r:embed="rId5" cstate="print">
                      <a:extLst>
                        <a:ext uri="{28A0092B-C50C-407E-A947-70E740481C1C}">
                          <a14:useLocalDpi xmlns:a14="http://schemas.microsoft.com/office/drawing/2010/main" val="false"/>
                        </a:ext>
                      </a:extLst>
                    </a:blip>
                    <a:srcRect/>
                    <a:stretch>
                      <a:fillRect/>
                    </a:stretch>
                  </pic:blipFill>
                  <pic:spPr>
                    <a:xfrm>
                      <a:off x="0" y="0"/>
                      <a:ext cx="2865897" cy="1909048"/>
                    </a:xfrm>
                    <a:prstGeom prst="rect">
                      <a:avLst/>
                    </a:prstGeom>
                    <a:noFill/>
                    <a:ln>
                      <a:noFill/>
                    </a:ln>
                  </pic:spPr>
                </pic:pic>
              </a:graphicData>
            </a:graphic>
          </wp:anchor>
        </w:drawing>
      </w:r>
      <w:r>
        <w:drawing>
          <wp:anchor distT="0" distB="0" distL="114300" distR="114300" simplePos="0" relativeHeight="251659264" behindDoc="0" locked="0" layoutInCell="1" allowOverlap="1">
            <wp:simplePos x="0" y="0"/>
            <wp:positionH relativeFrom="margin">
              <wp:align>left</wp:align>
            </wp:positionH>
            <wp:positionV relativeFrom="paragraph">
              <wp:posOffset>10795</wp:posOffset>
            </wp:positionV>
            <wp:extent cx="2842895" cy="1897380"/>
            <wp:effectExtent l="0" t="0" r="0" b="7620"/>
            <wp:wrapNone/>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noChangeArrowheads="true"/>
                    </pic:cNvPicPr>
                  </pic:nvPicPr>
                  <pic:blipFill>
                    <a:blip r:embed="rId6" cstate="print">
                      <a:extLst>
                        <a:ext uri="{28A0092B-C50C-407E-A947-70E740481C1C}">
                          <a14:useLocalDpi xmlns:a14="http://schemas.microsoft.com/office/drawing/2010/main" val="false"/>
                        </a:ext>
                      </a:extLst>
                    </a:blip>
                    <a:srcRect/>
                    <a:stretch>
                      <a:fillRect/>
                    </a:stretch>
                  </pic:blipFill>
                  <pic:spPr>
                    <a:xfrm>
                      <a:off x="0" y="0"/>
                      <a:ext cx="2843133" cy="1897490"/>
                    </a:xfrm>
                    <a:prstGeom prst="rect">
                      <a:avLst/>
                    </a:prstGeom>
                    <a:noFill/>
                    <a:ln>
                      <a:noFill/>
                    </a:ln>
                  </pic:spPr>
                </pic:pic>
              </a:graphicData>
            </a:graphic>
          </wp:anchor>
        </w:drawing>
      </w: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3360" w:firstLineChars="1400"/>
        <w:rPr>
          <w:rFonts w:eastAsia="宋体" w:cs="Times New Roman"/>
          <w:sz w:val="24"/>
          <w:szCs w:val="24"/>
        </w:rPr>
      </w:pPr>
      <w:r>
        <w:rPr>
          <w:rFonts w:hint="eastAsia" w:eastAsia="宋体" w:cs="Times New Roman"/>
          <w:sz w:val="24"/>
          <w:szCs w:val="24"/>
        </w:rPr>
        <w:t>图1  宁强县</w:t>
      </w:r>
    </w:p>
    <w:p>
      <w:pPr>
        <w:adjustRightInd w:val="0"/>
        <w:snapToGrid w:val="0"/>
        <w:spacing w:line="360" w:lineRule="auto"/>
        <w:ind w:firstLine="480" w:firstLineChars="200"/>
        <w:rPr>
          <w:rFonts w:hint="eastAsia" w:eastAsia="宋体" w:cs="Times New Roman"/>
          <w:sz w:val="24"/>
          <w:szCs w:val="24"/>
        </w:rPr>
      </w:pPr>
      <w:r>
        <w:rPr>
          <w:rFonts w:hint="eastAsia" w:eastAsia="宋体" w:cs="Times New Roman"/>
          <w:sz w:val="24"/>
          <w:szCs w:val="24"/>
        </w:rPr>
        <w:t>宁强县以箭叶淫羊藿、巫山淫羊藿、柔毛淫羊藿为主。县域内总种植面积超过1万亩。</w:t>
      </w:r>
    </w:p>
    <w:p>
      <w:pPr>
        <w:pStyle w:val="2"/>
        <w:rPr>
          <w:rFonts w:hint="eastAsia" w:eastAsia="宋体" w:cs="Times New Roman"/>
          <w:sz w:val="24"/>
          <w:szCs w:val="24"/>
        </w:rPr>
      </w:pPr>
    </w:p>
    <w:p>
      <w:pPr>
        <w:pStyle w:val="2"/>
        <w:rPr>
          <w:rFonts w:hint="eastAsia" w:eastAsia="宋体" w:cs="Times New Roman"/>
          <w:sz w:val="24"/>
          <w:szCs w:val="24"/>
        </w:rPr>
      </w:pPr>
    </w:p>
    <w:p>
      <w:pPr>
        <w:pStyle w:val="2"/>
        <w:rPr>
          <w:rFonts w:hint="eastAsia" w:eastAsia="宋体" w:cs="Times New Roman"/>
          <w:sz w:val="24"/>
          <w:szCs w:val="24"/>
        </w:rPr>
      </w:pPr>
    </w:p>
    <w:p>
      <w:pPr>
        <w:pStyle w:val="2"/>
        <w:rPr>
          <w:rFonts w:hint="eastAsia" w:eastAsia="宋体" w:cs="Times New Roman"/>
          <w:sz w:val="24"/>
          <w:szCs w:val="24"/>
        </w:rPr>
      </w:pPr>
    </w:p>
    <w:p>
      <w:pPr>
        <w:pStyle w:val="2"/>
        <w:rPr>
          <w:rFonts w:hint="eastAsia" w:eastAsia="宋体" w:cs="Times New Roman"/>
          <w:sz w:val="24"/>
          <w:szCs w:val="24"/>
        </w:rPr>
      </w:pPr>
    </w:p>
    <w:p>
      <w:pPr>
        <w:pStyle w:val="2"/>
        <w:rPr>
          <w:rFonts w:hint="eastAsia" w:eastAsia="宋体" w:cs="Times New Roman"/>
          <w:sz w:val="24"/>
          <w:szCs w:val="24"/>
        </w:rPr>
      </w:pPr>
    </w:p>
    <w:p>
      <w:pPr>
        <w:pStyle w:val="2"/>
        <w:rPr>
          <w:rFonts w:hint="eastAsia" w:eastAsia="宋体" w:cs="Times New Roman"/>
          <w:sz w:val="24"/>
          <w:szCs w:val="24"/>
        </w:rPr>
      </w:pPr>
    </w:p>
    <w:p>
      <w:pPr>
        <w:adjustRightInd w:val="0"/>
        <w:snapToGrid w:val="0"/>
        <w:ind w:firstLine="2560" w:firstLineChars="800"/>
        <w:rPr>
          <w:rFonts w:eastAsia="宋体" w:cs="Times New Roman"/>
          <w:sz w:val="28"/>
          <w:szCs w:val="28"/>
        </w:rPr>
      </w:pPr>
      <w:r>
        <w:drawing>
          <wp:anchor distT="0" distB="0" distL="114300" distR="114300" simplePos="0" relativeHeight="251664384" behindDoc="0" locked="0" layoutInCell="1" allowOverlap="1">
            <wp:simplePos x="0" y="0"/>
            <wp:positionH relativeFrom="column">
              <wp:posOffset>3039110</wp:posOffset>
            </wp:positionH>
            <wp:positionV relativeFrom="paragraph">
              <wp:posOffset>67310</wp:posOffset>
            </wp:positionV>
            <wp:extent cx="2504440" cy="1878330"/>
            <wp:effectExtent l="0" t="0" r="0" b="7620"/>
            <wp:wrapNone/>
            <wp:docPr id="7" name="图片 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true" noChangeArrowheads="true"/>
                    </pic:cNvPicPr>
                  </pic:nvPicPr>
                  <pic:blipFill>
                    <a:blip r:embed="rId7" cstate="print">
                      <a:extLst>
                        <a:ext uri="{28A0092B-C50C-407E-A947-70E740481C1C}">
                          <a14:useLocalDpi xmlns:a14="http://schemas.microsoft.com/office/drawing/2010/main" val="false"/>
                        </a:ext>
                      </a:extLst>
                    </a:blip>
                    <a:srcRect/>
                    <a:stretch>
                      <a:fillRect/>
                    </a:stretch>
                  </pic:blipFill>
                  <pic:spPr>
                    <a:xfrm>
                      <a:off x="0" y="0"/>
                      <a:ext cx="2520228" cy="1890212"/>
                    </a:xfrm>
                    <a:prstGeom prst="rect">
                      <a:avLst/>
                    </a:prstGeom>
                    <a:noFill/>
                    <a:ln>
                      <a:noFill/>
                    </a:ln>
                  </pic:spPr>
                </pic:pic>
              </a:graphicData>
            </a:graphic>
          </wp:anchor>
        </w:drawing>
      </w:r>
      <w:r>
        <w:drawing>
          <wp:anchor distT="0" distB="0" distL="114300" distR="114300" simplePos="0" relativeHeight="251661312" behindDoc="0" locked="0" layoutInCell="1" allowOverlap="1">
            <wp:simplePos x="0" y="0"/>
            <wp:positionH relativeFrom="margin">
              <wp:align>left</wp:align>
            </wp:positionH>
            <wp:positionV relativeFrom="paragraph">
              <wp:posOffset>53340</wp:posOffset>
            </wp:positionV>
            <wp:extent cx="2842895" cy="1893570"/>
            <wp:effectExtent l="0" t="0" r="0" b="0"/>
            <wp:wrapNone/>
            <wp:docPr id="3"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true" noChangeArrowheads="true"/>
                    </pic:cNvPicPr>
                  </pic:nvPicPr>
                  <pic:blipFill>
                    <a:blip r:embed="rId8" cstate="print">
                      <a:extLst>
                        <a:ext uri="{28A0092B-C50C-407E-A947-70E740481C1C}">
                          <a14:useLocalDpi xmlns:a14="http://schemas.microsoft.com/office/drawing/2010/main" val="false"/>
                        </a:ext>
                      </a:extLst>
                    </a:blip>
                    <a:srcRect/>
                    <a:stretch>
                      <a:fillRect/>
                    </a:stretch>
                  </pic:blipFill>
                  <pic:spPr>
                    <a:xfrm>
                      <a:off x="0" y="0"/>
                      <a:ext cx="2842895" cy="1893726"/>
                    </a:xfrm>
                    <a:prstGeom prst="rect">
                      <a:avLst/>
                    </a:prstGeom>
                    <a:noFill/>
                    <a:ln>
                      <a:noFill/>
                    </a:ln>
                  </pic:spPr>
                </pic:pic>
              </a:graphicData>
            </a:graphic>
          </wp:anchor>
        </w:drawing>
      </w: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spacing w:line="360" w:lineRule="auto"/>
        <w:ind w:firstLine="3120" w:firstLineChars="1300"/>
        <w:rPr>
          <w:rFonts w:eastAsia="宋体" w:cs="Times New Roman"/>
          <w:sz w:val="24"/>
          <w:szCs w:val="24"/>
        </w:rPr>
      </w:pPr>
      <w:r>
        <w:rPr>
          <w:rFonts w:hint="eastAsia" w:eastAsia="宋体" w:cs="Times New Roman"/>
          <w:sz w:val="24"/>
          <w:szCs w:val="24"/>
        </w:rPr>
        <w:t>图</w:t>
      </w:r>
      <w:r>
        <w:rPr>
          <w:rFonts w:eastAsia="宋体" w:cs="Times New Roman"/>
          <w:sz w:val="24"/>
          <w:szCs w:val="24"/>
        </w:rPr>
        <w:t>2</w:t>
      </w:r>
      <w:r>
        <w:rPr>
          <w:rFonts w:hint="eastAsia" w:eastAsia="宋体" w:cs="Times New Roman"/>
          <w:sz w:val="24"/>
          <w:szCs w:val="24"/>
        </w:rPr>
        <w:t xml:space="preserve">  镇巴县</w:t>
      </w:r>
    </w:p>
    <w:p>
      <w:pPr>
        <w:adjustRightInd w:val="0"/>
        <w:snapToGrid w:val="0"/>
        <w:spacing w:line="360" w:lineRule="auto"/>
        <w:ind w:firstLine="640" w:firstLineChars="200"/>
        <w:rPr>
          <w:rFonts w:hint="eastAsia" w:eastAsia="宋体" w:cs="Times New Roman"/>
          <w:sz w:val="24"/>
          <w:szCs w:val="24"/>
        </w:rPr>
      </w:pPr>
      <w:r>
        <w:drawing>
          <wp:anchor distT="0" distB="0" distL="114300" distR="114300" simplePos="0" relativeHeight="251662336" behindDoc="0" locked="0" layoutInCell="1" allowOverlap="1">
            <wp:simplePos x="0" y="0"/>
            <wp:positionH relativeFrom="margin">
              <wp:posOffset>100330</wp:posOffset>
            </wp:positionH>
            <wp:positionV relativeFrom="paragraph">
              <wp:posOffset>255270</wp:posOffset>
            </wp:positionV>
            <wp:extent cx="2647950" cy="1984375"/>
            <wp:effectExtent l="0" t="0" r="635" b="0"/>
            <wp:wrapNone/>
            <wp:docPr id="5"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true" noChangeArrowheads="true"/>
                    </pic:cNvPicPr>
                  </pic:nvPicPr>
                  <pic:blipFill>
                    <a:blip r:embed="rId9" cstate="print">
                      <a:extLst>
                        <a:ext uri="{28A0092B-C50C-407E-A947-70E740481C1C}">
                          <a14:useLocalDpi xmlns:a14="http://schemas.microsoft.com/office/drawing/2010/main" val="false"/>
                        </a:ext>
                      </a:extLst>
                    </a:blip>
                    <a:srcRect/>
                    <a:stretch>
                      <a:fillRect/>
                    </a:stretch>
                  </pic:blipFill>
                  <pic:spPr>
                    <a:xfrm>
                      <a:off x="0" y="0"/>
                      <a:ext cx="2647784" cy="1984545"/>
                    </a:xfrm>
                    <a:prstGeom prst="rect">
                      <a:avLst/>
                    </a:prstGeom>
                    <a:noFill/>
                    <a:ln>
                      <a:noFill/>
                    </a:ln>
                  </pic:spPr>
                </pic:pic>
              </a:graphicData>
            </a:graphic>
          </wp:anchor>
        </w:drawing>
      </w:r>
      <w:r>
        <w:rPr>
          <w:rFonts w:hint="eastAsia" w:eastAsia="宋体" w:cs="Times New Roman"/>
          <w:sz w:val="24"/>
          <w:szCs w:val="24"/>
        </w:rPr>
        <w:t>镇巴县以巫山淫羊藿、柔毛淫羊藿为主。县域内总种植面积超过1</w:t>
      </w:r>
      <w:r>
        <w:rPr>
          <w:rFonts w:eastAsia="宋体" w:cs="Times New Roman"/>
          <w:sz w:val="24"/>
          <w:szCs w:val="24"/>
        </w:rPr>
        <w:t>000</w:t>
      </w:r>
      <w:r>
        <w:rPr>
          <w:rFonts w:hint="eastAsia" w:eastAsia="宋体" w:cs="Times New Roman"/>
          <w:sz w:val="24"/>
          <w:szCs w:val="24"/>
        </w:rPr>
        <w:t>亩。</w:t>
      </w:r>
    </w:p>
    <w:p>
      <w:pPr>
        <w:adjustRightInd w:val="0"/>
        <w:snapToGrid w:val="0"/>
        <w:ind w:firstLine="2560" w:firstLineChars="800"/>
        <w:rPr>
          <w:rFonts w:eastAsia="宋体" w:cs="Times New Roman"/>
          <w:sz w:val="28"/>
          <w:szCs w:val="28"/>
        </w:rPr>
      </w:pPr>
      <w:r>
        <w:drawing>
          <wp:anchor distT="0" distB="0" distL="114300" distR="114300" simplePos="0" relativeHeight="251663360" behindDoc="0" locked="0" layoutInCell="1" allowOverlap="1">
            <wp:simplePos x="0" y="0"/>
            <wp:positionH relativeFrom="column">
              <wp:posOffset>3391535</wp:posOffset>
            </wp:positionH>
            <wp:positionV relativeFrom="paragraph">
              <wp:posOffset>20955</wp:posOffset>
            </wp:positionV>
            <wp:extent cx="1487170" cy="1983740"/>
            <wp:effectExtent l="0" t="0" r="0" b="0"/>
            <wp:wrapNone/>
            <wp:docPr id="6"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true" noChangeArrowheads="true"/>
                    </pic:cNvPicPr>
                  </pic:nvPicPr>
                  <pic:blipFill>
                    <a:blip r:embed="rId10" cstate="print">
                      <a:extLst>
                        <a:ext uri="{28A0092B-C50C-407E-A947-70E740481C1C}">
                          <a14:useLocalDpi xmlns:a14="http://schemas.microsoft.com/office/drawing/2010/main" val="false"/>
                        </a:ext>
                      </a:extLst>
                    </a:blip>
                    <a:srcRect/>
                    <a:stretch>
                      <a:fillRect/>
                    </a:stretch>
                  </pic:blipFill>
                  <pic:spPr>
                    <a:xfrm>
                      <a:off x="0" y="0"/>
                      <a:ext cx="1486894" cy="1983817"/>
                    </a:xfrm>
                    <a:prstGeom prst="rect">
                      <a:avLst/>
                    </a:prstGeom>
                    <a:noFill/>
                    <a:ln>
                      <a:noFill/>
                    </a:ln>
                  </pic:spPr>
                </pic:pic>
              </a:graphicData>
            </a:graphic>
          </wp:anchor>
        </w:drawing>
      </w: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spacing w:line="360" w:lineRule="auto"/>
        <w:ind w:firstLine="3360" w:firstLineChars="1400"/>
        <w:rPr>
          <w:rFonts w:eastAsia="宋体" w:cs="Times New Roman"/>
          <w:sz w:val="24"/>
          <w:szCs w:val="24"/>
        </w:rPr>
      </w:pPr>
      <w:r>
        <w:rPr>
          <w:rFonts w:hint="eastAsia" w:eastAsia="宋体" w:cs="Times New Roman"/>
          <w:sz w:val="24"/>
          <w:szCs w:val="24"/>
        </w:rPr>
        <w:t>图</w:t>
      </w:r>
      <w:r>
        <w:rPr>
          <w:rFonts w:eastAsia="宋体" w:cs="Times New Roman"/>
          <w:sz w:val="24"/>
          <w:szCs w:val="24"/>
        </w:rPr>
        <w:t>3</w:t>
      </w:r>
      <w:r>
        <w:rPr>
          <w:rFonts w:hint="eastAsia" w:eastAsia="宋体" w:cs="Times New Roman"/>
          <w:sz w:val="24"/>
          <w:szCs w:val="24"/>
        </w:rPr>
        <w:t xml:space="preserve">  太白县</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太白县以淫羊藿为主，少量箭叶淫羊藿、巫山淫羊藿、柔毛淫羊藿。县域内总种植面积超过</w:t>
      </w:r>
      <w:r>
        <w:rPr>
          <w:rFonts w:eastAsia="宋体" w:cs="Times New Roman"/>
          <w:sz w:val="24"/>
          <w:szCs w:val="24"/>
        </w:rPr>
        <w:t>50</w:t>
      </w:r>
      <w:r>
        <w:rPr>
          <w:rFonts w:hint="eastAsia" w:eastAsia="宋体" w:cs="Times New Roman"/>
          <w:sz w:val="24"/>
          <w:szCs w:val="24"/>
        </w:rPr>
        <w:t>亩。</w:t>
      </w:r>
    </w:p>
    <w:p>
      <w:pPr>
        <w:adjustRightInd w:val="0"/>
        <w:snapToGrid w:val="0"/>
        <w:ind w:firstLine="2560" w:firstLineChars="800"/>
        <w:rPr>
          <w:rFonts w:eastAsia="宋体" w:cs="Times New Roman"/>
          <w:sz w:val="28"/>
          <w:szCs w:val="28"/>
        </w:rPr>
      </w:pPr>
      <w:r>
        <w:drawing>
          <wp:anchor distT="0" distB="0" distL="114300" distR="114300" simplePos="0" relativeHeight="251666432" behindDoc="0" locked="0" layoutInCell="1" allowOverlap="1">
            <wp:simplePos x="0" y="0"/>
            <wp:positionH relativeFrom="column">
              <wp:posOffset>2641600</wp:posOffset>
            </wp:positionH>
            <wp:positionV relativeFrom="paragraph">
              <wp:posOffset>60960</wp:posOffset>
            </wp:positionV>
            <wp:extent cx="2313940" cy="1301750"/>
            <wp:effectExtent l="0" t="0" r="0" b="0"/>
            <wp:wrapNone/>
            <wp:docPr id="8"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true" noChangeArrowheads="true"/>
                    </pic:cNvPicPr>
                  </pic:nvPicPr>
                  <pic:blipFill>
                    <a:blip r:embed="rId11" cstate="print">
                      <a:extLst>
                        <a:ext uri="{28A0092B-C50C-407E-A947-70E740481C1C}">
                          <a14:useLocalDpi xmlns:a14="http://schemas.microsoft.com/office/drawing/2010/main" val="false"/>
                        </a:ext>
                      </a:extLst>
                    </a:blip>
                    <a:srcRect/>
                    <a:stretch>
                      <a:fillRect/>
                    </a:stretch>
                  </pic:blipFill>
                  <pic:spPr>
                    <a:xfrm>
                      <a:off x="0" y="0"/>
                      <a:ext cx="2313829" cy="1301572"/>
                    </a:xfrm>
                    <a:prstGeom prst="rect">
                      <a:avLst/>
                    </a:prstGeom>
                    <a:noFill/>
                    <a:ln>
                      <a:noFill/>
                    </a:ln>
                  </pic:spPr>
                </pic:pic>
              </a:graphicData>
            </a:graphic>
          </wp:anchor>
        </w:drawing>
      </w:r>
      <w:r>
        <w:drawing>
          <wp:anchor distT="0" distB="0" distL="114300" distR="114300" simplePos="0" relativeHeight="251665408" behindDoc="0" locked="0" layoutInCell="1" allowOverlap="1">
            <wp:simplePos x="0" y="0"/>
            <wp:positionH relativeFrom="column">
              <wp:posOffset>224155</wp:posOffset>
            </wp:positionH>
            <wp:positionV relativeFrom="paragraph">
              <wp:posOffset>60960</wp:posOffset>
            </wp:positionV>
            <wp:extent cx="2353310" cy="1323340"/>
            <wp:effectExtent l="0" t="0" r="8890" b="0"/>
            <wp:wrapNone/>
            <wp:docPr id="4"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true" noChangeArrowheads="true"/>
                    </pic:cNvPicPr>
                  </pic:nvPicPr>
                  <pic:blipFill>
                    <a:blip r:embed="rId12" cstate="print">
                      <a:extLst>
                        <a:ext uri="{28A0092B-C50C-407E-A947-70E740481C1C}">
                          <a14:useLocalDpi xmlns:a14="http://schemas.microsoft.com/office/drawing/2010/main" val="false"/>
                        </a:ext>
                      </a:extLst>
                    </a:blip>
                    <a:srcRect/>
                    <a:stretch>
                      <a:fillRect/>
                    </a:stretch>
                  </pic:blipFill>
                  <pic:spPr>
                    <a:xfrm>
                      <a:off x="0" y="0"/>
                      <a:ext cx="2353586" cy="1323466"/>
                    </a:xfrm>
                    <a:prstGeom prst="rect">
                      <a:avLst/>
                    </a:prstGeom>
                    <a:noFill/>
                    <a:ln>
                      <a:noFill/>
                    </a:ln>
                  </pic:spPr>
                </pic:pic>
              </a:graphicData>
            </a:graphic>
          </wp:anchor>
        </w:drawing>
      </w: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ind w:firstLine="2240" w:firstLineChars="800"/>
        <w:rPr>
          <w:rFonts w:eastAsia="宋体" w:cs="Times New Roman"/>
          <w:sz w:val="28"/>
          <w:szCs w:val="28"/>
        </w:rPr>
      </w:pPr>
    </w:p>
    <w:p>
      <w:pPr>
        <w:adjustRightInd w:val="0"/>
        <w:snapToGrid w:val="0"/>
        <w:spacing w:line="360" w:lineRule="auto"/>
        <w:ind w:firstLine="3360" w:firstLineChars="1400"/>
        <w:rPr>
          <w:rFonts w:eastAsia="宋体" w:cs="Times New Roman"/>
          <w:sz w:val="24"/>
          <w:szCs w:val="24"/>
        </w:rPr>
      </w:pPr>
      <w:r>
        <w:rPr>
          <w:rFonts w:hint="eastAsia" w:eastAsia="宋体" w:cs="Times New Roman"/>
          <w:sz w:val="24"/>
          <w:szCs w:val="24"/>
        </w:rPr>
        <w:t>图</w:t>
      </w:r>
      <w:r>
        <w:rPr>
          <w:rFonts w:eastAsia="宋体" w:cs="Times New Roman"/>
          <w:sz w:val="24"/>
          <w:szCs w:val="24"/>
        </w:rPr>
        <w:t>4</w:t>
      </w:r>
      <w:r>
        <w:rPr>
          <w:rFonts w:hint="eastAsia" w:eastAsia="宋体" w:cs="Times New Roman"/>
          <w:sz w:val="24"/>
          <w:szCs w:val="24"/>
        </w:rPr>
        <w:t xml:space="preserve">  柞水县</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柞水县以巫山淫羊藿、柔毛淫羊藿为主。县域内总种植面积5</w:t>
      </w:r>
      <w:r>
        <w:rPr>
          <w:rFonts w:eastAsia="宋体" w:cs="Times New Roman"/>
          <w:sz w:val="24"/>
          <w:szCs w:val="24"/>
        </w:rPr>
        <w:t>0</w:t>
      </w:r>
      <w:r>
        <w:rPr>
          <w:rFonts w:hint="eastAsia" w:eastAsia="宋体" w:cs="Times New Roman"/>
          <w:sz w:val="24"/>
          <w:szCs w:val="24"/>
        </w:rPr>
        <w:t>亩。</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起草组基于搜索到的淫羊藿生产技术等各关键环节相关技术文献数据，结合我省行业实际和实地调研资料，将有关技术要点同项目实施中田间试验数据测定结果进行了对比分析，经过认真研究和讨论，起草了本标准草案讨论稿，确定了本标准的基本框架及技术内容。</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4.召开讨论会，形成征求意见稿</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 xml:space="preserve">本标准工作小组建立“巫山淫羊藿林下栽培技术规程征求意见工作群”，召开讨论会，对标准草案讨论稿的适用范围、编制框架及技术环节内容等进行了反复讨论和修改，同时按照GB／T1.1-2020《标准化工作导则 第1部分：标准化文件的结构和起草规则》有关要求，规范了标准编写的格式、内容、术语等，起草形成了《巫山淫羊藿林下栽培技术规程（征求意见稿）》，起草了编制说明。 </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二、标准编制原则和主要内容及依据</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（一）标准编制原则</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本标准的编制依据GB／T1.1-2020《标准化工作导则 第1部分：标准化文件的结构和起草规则》和《地方标准管理办法》的规定进行编制，相关内容与现行有关法律、法规和上级强制性标准相一致。同时，本标准制订过程主要依据陕西省巫山淫羊藿林下种植与生产实际调查和田间试验测定数据，因此，具有较强的地域性和适用性等特点。</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（二）地方标准主要内容</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是项目组结合承担的陕西省教育厅服务地方项目“汉中市宁强县淫羊藿生态种植模式的示范与推广”、陕西省科技厅科技计划面上项目“箭叶淫羊藿生理生态特征、土壤环境及药用次生代谢物对不同种植模式的响应”、陕西省中医药管理局项目“秦巴山区连翘、五味子、淫羊藿、猪苓等中药材生态种植与品质提升关键技术集成与示范”以及标准年度工作计划任务内容进行实施，经过多年的研究积累，同时参考国内相关研究进展，对前期研究结果集成而制订的巫山淫羊藿林下栽培技术规程的地方标准。</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1.适用范围</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本文件规定了巫山淫羊藿（</w:t>
      </w:r>
      <w:r>
        <w:rPr>
          <w:rFonts w:hint="eastAsia" w:eastAsia="宋体" w:cs="Times New Roman"/>
          <w:i/>
          <w:sz w:val="24"/>
          <w:szCs w:val="24"/>
        </w:rPr>
        <w:t>Epimedium wushanense</w:t>
      </w:r>
      <w:r>
        <w:rPr>
          <w:rFonts w:hint="eastAsia" w:eastAsia="宋体" w:cs="Times New Roman"/>
          <w:sz w:val="24"/>
          <w:szCs w:val="24"/>
        </w:rPr>
        <w:t xml:space="preserve"> Ying）林下栽培的术语和定义、生产环境、栽培技术、采收和加工以及贮藏、运输、档案管理、追溯。本文适用于陕西省巫山淫羊藿的林下栽培。</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2.规范性引用文件</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GB 3095 环境空气质量标准</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 xml:space="preserve">GB 5084 农田灌溉水质标准 </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GB 15618 土壤环境质量 农用地土壤污染风险管控标准（试行）</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GB/T 8321.8-2007 农药合理使用准则（八）</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NY/T 393-2020 绿色食品-农药使用准则</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NY/T 496-2010 肥料合理使用准则 通则</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SB/T 11182-2017 中药材包装技术规范</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 xml:space="preserve">SB/T 11095-2014 中药材仓库技术规范 </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中华人民共和国药典.一部.2020</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国家药品监督管理局.中药材生产质量管理规范.2020</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3.主要技术要求</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陕西省栽植淫羊藿具有独特的地缘优势，可栽植品种多，跨越南北，区域条件特性决定了栽植技术的特殊性和复杂性。本标准主要技术内容包括巫山淫羊藿种子的后熟处理、林下栽植的林地选择、栽植过程及栽后的田间管护、施肥技术、病虫害防治及采收后的加工存储管理等相关技术要求。以实地调查为基础，结合搜集到的相关技术资料，在充分参考田间试验数据分析结果基础上进行验证确定。在水肥管理方面，首次提出了巫山淫羊藿的有机肥与化肥配施的管理技术。</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三、主要试验（或验证）的分析、综述报告，技术经济论证，预期的经济效果；</w:t>
      </w:r>
    </w:p>
    <w:p>
      <w:pPr>
        <w:spacing w:line="360" w:lineRule="auto"/>
        <w:ind w:firstLine="481" w:firstLineChars="200"/>
        <w:rPr>
          <w:rFonts w:eastAsia="宋体" w:cs="Times New Roman"/>
          <w:b/>
          <w:sz w:val="24"/>
          <w:szCs w:val="24"/>
        </w:rPr>
      </w:pPr>
      <w:r>
        <w:rPr>
          <w:rFonts w:hint="eastAsia" w:eastAsia="宋体" w:cs="Times New Roman"/>
          <w:b/>
          <w:sz w:val="24"/>
          <w:szCs w:val="24"/>
        </w:rPr>
        <w:t>1</w:t>
      </w:r>
      <w:r>
        <w:rPr>
          <w:rFonts w:eastAsia="宋体" w:cs="Times New Roman"/>
          <w:b/>
          <w:sz w:val="24"/>
          <w:szCs w:val="24"/>
        </w:rPr>
        <w:t>.</w:t>
      </w:r>
      <w:r>
        <w:rPr>
          <w:rFonts w:hint="eastAsia" w:eastAsia="宋体" w:cs="Times New Roman"/>
          <w:b/>
          <w:sz w:val="24"/>
          <w:szCs w:val="24"/>
        </w:rPr>
        <w:t>种子萌发温度及时间要求</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为确定淫羊藿种子的最佳萌发温度和播种期</w:t>
      </w:r>
      <w:r>
        <w:rPr>
          <w:rFonts w:hint="eastAsia" w:eastAsia="宋体" w:cs="Times New Roman"/>
          <w:sz w:val="24"/>
          <w:szCs w:val="24"/>
        </w:rPr>
        <w:t>，我们走访企业及查询大量文献。</w:t>
      </w:r>
      <w:r>
        <w:rPr>
          <w:rFonts w:eastAsia="宋体" w:cs="Times New Roman"/>
          <w:sz w:val="24"/>
          <w:szCs w:val="24"/>
        </w:rPr>
        <w:t>有研究将采集的新鲜干燥种子分别在4、10、15、20、25℃进行萌发测定实验</w:t>
      </w:r>
      <w:r>
        <w:rPr>
          <w:rFonts w:hint="eastAsia" w:eastAsia="宋体" w:cs="Times New Roman"/>
          <w:sz w:val="24"/>
          <w:szCs w:val="24"/>
        </w:rPr>
        <w:t>，</w:t>
      </w:r>
      <w:r>
        <w:rPr>
          <w:rFonts w:eastAsia="宋体" w:cs="Times New Roman"/>
          <w:sz w:val="24"/>
          <w:szCs w:val="24"/>
        </w:rPr>
        <w:t>研究结果表明4～10℃可能是淫羊藿种子萌发的适宜温度</w:t>
      </w:r>
      <w:r>
        <w:rPr>
          <w:rFonts w:hint="eastAsia" w:eastAsia="宋体" w:cs="Times New Roman"/>
          <w:sz w:val="24"/>
          <w:szCs w:val="24"/>
        </w:rPr>
        <w:t>。但是大量实践证明：先将淫羊藿种子进行低温</w:t>
      </w:r>
      <w:r>
        <w:rPr>
          <w:rFonts w:eastAsia="宋体" w:cs="Times New Roman"/>
          <w:sz w:val="24"/>
          <w:szCs w:val="24"/>
        </w:rPr>
        <w:t>避光层积</w:t>
      </w:r>
      <w:r>
        <w:rPr>
          <w:rFonts w:hint="eastAsia" w:eastAsia="宋体" w:cs="Times New Roman"/>
          <w:sz w:val="24"/>
          <w:szCs w:val="24"/>
        </w:rPr>
        <w:t>，然后直播入土，大概3个月左右时间出苗。此外，农业生产中应该遵循</w:t>
      </w:r>
      <w:r>
        <w:rPr>
          <w:rFonts w:eastAsia="宋体" w:cs="Times New Roman"/>
          <w:sz w:val="24"/>
          <w:szCs w:val="24"/>
        </w:rPr>
        <w:t>淫羊藿移栽</w:t>
      </w:r>
      <w:r>
        <w:rPr>
          <w:rFonts w:hint="eastAsia" w:eastAsia="宋体" w:cs="Times New Roman"/>
          <w:sz w:val="24"/>
          <w:szCs w:val="24"/>
        </w:rPr>
        <w:t>的</w:t>
      </w:r>
      <w:r>
        <w:rPr>
          <w:rFonts w:eastAsia="宋体" w:cs="Times New Roman"/>
          <w:sz w:val="24"/>
          <w:szCs w:val="24"/>
        </w:rPr>
        <w:t>秋季或春季</w:t>
      </w:r>
      <w:r>
        <w:rPr>
          <w:rFonts w:hint="eastAsia" w:eastAsia="宋体" w:cs="Times New Roman"/>
          <w:sz w:val="24"/>
          <w:szCs w:val="24"/>
        </w:rPr>
        <w:t>习惯，选择在各自适当的提前时间内进行萌发育苗处理</w:t>
      </w:r>
      <w:r>
        <w:rPr>
          <w:rFonts w:eastAsia="宋体" w:cs="Times New Roman"/>
          <w:sz w:val="24"/>
          <w:szCs w:val="24"/>
        </w:rPr>
        <w:t>，</w:t>
      </w:r>
      <w:r>
        <w:rPr>
          <w:rFonts w:hint="eastAsia" w:eastAsia="宋体" w:cs="Times New Roman"/>
          <w:sz w:val="24"/>
          <w:szCs w:val="24"/>
        </w:rPr>
        <w:t>且</w:t>
      </w:r>
      <w:r>
        <w:rPr>
          <w:rFonts w:eastAsia="宋体" w:cs="Times New Roman"/>
          <w:sz w:val="24"/>
          <w:szCs w:val="24"/>
        </w:rPr>
        <w:t>选择生长旺盛的植株整株带土移栽，且在24 h内移植好，最好在阴天或雨后等湿度较大的条件下进行。</w:t>
      </w:r>
    </w:p>
    <w:p>
      <w:pPr>
        <w:ind w:firstLine="2880" w:firstLineChars="1200"/>
        <w:rPr>
          <w:rFonts w:eastAsia="宋体" w:cs="Times New Roman"/>
          <w:sz w:val="24"/>
          <w:szCs w:val="24"/>
        </w:rPr>
      </w:pPr>
      <w:r>
        <w:rPr>
          <w:rFonts w:eastAsia="宋体" w:cs="Times New Roman"/>
          <w:sz w:val="24"/>
          <w:szCs w:val="24"/>
        </w:rPr>
        <w:t>表1单独遮光处理实验设计</w:t>
      </w:r>
    </w:p>
    <w:tbl>
      <w:tblPr>
        <w:tblStyle w:val="6"/>
        <w:tblpPr w:leftFromText="180" w:rightFromText="180" w:vertAnchor="text" w:horzAnchor="margin" w:tblpY="132"/>
        <w:tblW w:w="5000" w:type="pct"/>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495"/>
        <w:gridCol w:w="3027"/>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3224" w:type="pct"/>
            <w:tcBorders>
              <w:top w:val="single" w:color="auto" w:sz="8" w:space="0"/>
              <w:bottom w:val="single" w:color="auto" w:sz="8" w:space="0"/>
            </w:tcBorders>
          </w:tcPr>
          <w:p>
            <w:pPr>
              <w:jc w:val="center"/>
              <w:rPr>
                <w:rFonts w:eastAsia="宋体" w:cs="Times New Roman"/>
                <w:sz w:val="24"/>
                <w:szCs w:val="24"/>
              </w:rPr>
            </w:pPr>
            <w:r>
              <w:rPr>
                <w:rFonts w:eastAsia="宋体" w:cs="Times New Roman"/>
                <w:sz w:val="24"/>
                <w:szCs w:val="24"/>
              </w:rPr>
              <w:t>黑色遮阳网/层</w:t>
            </w:r>
          </w:p>
        </w:tc>
        <w:tc>
          <w:tcPr>
            <w:tcW w:w="1776" w:type="pct"/>
            <w:tcBorders>
              <w:top w:val="single" w:color="auto" w:sz="8" w:space="0"/>
              <w:bottom w:val="single" w:color="auto" w:sz="8" w:space="0"/>
            </w:tcBorders>
            <w:vAlign w:val="center"/>
          </w:tcPr>
          <w:p>
            <w:pPr>
              <w:jc w:val="center"/>
              <w:rPr>
                <w:rFonts w:eastAsia="宋体" w:cs="Times New Roman"/>
                <w:sz w:val="24"/>
                <w:szCs w:val="24"/>
              </w:rPr>
            </w:pPr>
            <w:r>
              <w:rPr>
                <w:rFonts w:eastAsia="宋体" w:cs="Times New Roman"/>
                <w:sz w:val="24"/>
                <w:szCs w:val="24"/>
              </w:rPr>
              <w:t>透光率</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3224" w:type="pct"/>
            <w:tcBorders>
              <w:top w:val="single" w:color="auto" w:sz="8" w:space="0"/>
            </w:tcBorders>
          </w:tcPr>
          <w:p>
            <w:pPr>
              <w:jc w:val="center"/>
              <w:rPr>
                <w:rFonts w:eastAsia="宋体" w:cs="Times New Roman"/>
                <w:sz w:val="24"/>
                <w:szCs w:val="24"/>
              </w:rPr>
            </w:pPr>
            <w:r>
              <w:rPr>
                <w:rFonts w:eastAsia="宋体" w:cs="Times New Roman"/>
                <w:sz w:val="24"/>
                <w:szCs w:val="24"/>
              </w:rPr>
              <w:t>1</w:t>
            </w:r>
          </w:p>
        </w:tc>
        <w:tc>
          <w:tcPr>
            <w:tcW w:w="1776" w:type="pct"/>
            <w:tcBorders>
              <w:top w:val="single" w:color="auto" w:sz="8" w:space="0"/>
            </w:tcBorders>
            <w:vAlign w:val="center"/>
          </w:tcPr>
          <w:p>
            <w:pPr>
              <w:jc w:val="center"/>
              <w:rPr>
                <w:rFonts w:eastAsia="宋体" w:cs="Times New Roman"/>
                <w:sz w:val="24"/>
                <w:szCs w:val="24"/>
              </w:rPr>
            </w:pPr>
            <w:r>
              <w:rPr>
                <w:rFonts w:eastAsia="宋体" w:cs="Times New Roman"/>
                <w:sz w:val="24"/>
                <w:szCs w:val="24"/>
              </w:rPr>
              <w:t>75%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3224" w:type="pct"/>
          </w:tcPr>
          <w:p>
            <w:pPr>
              <w:jc w:val="center"/>
              <w:rPr>
                <w:rFonts w:eastAsia="宋体" w:cs="Times New Roman"/>
                <w:sz w:val="24"/>
                <w:szCs w:val="24"/>
              </w:rPr>
            </w:pPr>
            <w:r>
              <w:rPr>
                <w:rFonts w:eastAsia="宋体" w:cs="Times New Roman"/>
                <w:sz w:val="24"/>
                <w:szCs w:val="24"/>
              </w:rPr>
              <w:t>2</w:t>
            </w:r>
          </w:p>
        </w:tc>
        <w:tc>
          <w:tcPr>
            <w:tcW w:w="1776" w:type="pct"/>
            <w:vAlign w:val="center"/>
          </w:tcPr>
          <w:p>
            <w:pPr>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3224" w:type="pct"/>
            <w:tcBorders>
              <w:bottom w:val="single" w:color="auto" w:sz="8" w:space="0"/>
            </w:tcBorders>
          </w:tcPr>
          <w:p>
            <w:pPr>
              <w:jc w:val="center"/>
              <w:rPr>
                <w:rFonts w:eastAsia="宋体" w:cs="Times New Roman"/>
                <w:sz w:val="24"/>
                <w:szCs w:val="24"/>
              </w:rPr>
            </w:pPr>
            <w:r>
              <w:rPr>
                <w:rFonts w:eastAsia="宋体" w:cs="Times New Roman"/>
                <w:sz w:val="24"/>
                <w:szCs w:val="24"/>
              </w:rPr>
              <w:t>3</w:t>
            </w:r>
          </w:p>
        </w:tc>
        <w:tc>
          <w:tcPr>
            <w:tcW w:w="1776" w:type="pct"/>
            <w:tcBorders>
              <w:bottom w:val="single" w:color="auto" w:sz="8" w:space="0"/>
            </w:tcBorders>
            <w:vAlign w:val="center"/>
          </w:tcPr>
          <w:p>
            <w:pPr>
              <w:jc w:val="center"/>
              <w:rPr>
                <w:rFonts w:eastAsia="宋体" w:cs="Times New Roman"/>
                <w:sz w:val="24"/>
                <w:szCs w:val="24"/>
              </w:rPr>
            </w:pPr>
            <w:r>
              <w:rPr>
                <w:rFonts w:eastAsia="宋体" w:cs="Times New Roman"/>
                <w:sz w:val="24"/>
                <w:szCs w:val="24"/>
              </w:rPr>
              <w:t>25%</w:t>
            </w:r>
          </w:p>
        </w:tc>
      </w:tr>
    </w:tbl>
    <w:p>
      <w:pPr>
        <w:rPr>
          <w:rFonts w:eastAsia="仿宋" w:cs="Times New Roman"/>
        </w:rPr>
      </w:pPr>
    </w:p>
    <w:p>
      <w:pPr>
        <w:jc w:val="center"/>
      </w:pPr>
      <w:r>
        <w:rPr>
          <w:rFonts w:hint="eastAsia"/>
        </w:rPr>
        <w:t xml:space="preserve"> </w:t>
      </w:r>
      <w:r>
        <w:rPr>
          <w:rFonts w:hint="eastAsia"/>
        </w:rPr>
        <w:drawing>
          <wp:inline distT="0" distB="0" distL="0" distR="0">
            <wp:extent cx="3448685" cy="2122170"/>
            <wp:effectExtent l="0" t="0" r="0" b="0"/>
            <wp:docPr id="520318014"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20318014" name="图片 1"/>
                    <pic:cNvPicPr>
                      <a:picLocks noChangeAspect="true"/>
                    </pic:cNvPicPr>
                  </pic:nvPicPr>
                  <pic:blipFill>
                    <a:blip r:embed="rId13" cstate="print">
                      <a:extLst>
                        <a:ext uri="{28A0092B-C50C-407E-A947-70E740481C1C}">
                          <a14:useLocalDpi xmlns:a14="http://schemas.microsoft.com/office/drawing/2010/main" val="false"/>
                        </a:ext>
                      </a:extLst>
                    </a:blip>
                    <a:srcRect t="9241" r="794" b="5578"/>
                    <a:stretch>
                      <a:fillRect/>
                    </a:stretch>
                  </pic:blipFill>
                  <pic:spPr>
                    <a:xfrm>
                      <a:off x="0" y="0"/>
                      <a:ext cx="3467936" cy="2133791"/>
                    </a:xfrm>
                    <a:prstGeom prst="rect">
                      <a:avLst/>
                    </a:prstGeom>
                    <a:ln>
                      <a:noFill/>
                    </a:ln>
                  </pic:spPr>
                </pic:pic>
              </a:graphicData>
            </a:graphic>
          </wp:inline>
        </w:drawing>
      </w:r>
    </w:p>
    <w:p>
      <w:pPr>
        <w:ind w:firstLine="1680" w:firstLineChars="700"/>
        <w:rPr>
          <w:rFonts w:eastAsia="宋体" w:cs="Times New Roman"/>
          <w:sz w:val="24"/>
          <w:szCs w:val="24"/>
        </w:rPr>
      </w:pPr>
      <w:r>
        <w:rPr>
          <w:rFonts w:eastAsia="宋体" w:cs="Times New Roman"/>
          <w:sz w:val="24"/>
          <w:szCs w:val="24"/>
        </w:rPr>
        <w:t>图</w:t>
      </w:r>
      <w:r>
        <w:rPr>
          <w:rFonts w:hint="eastAsia" w:eastAsia="宋体" w:cs="Times New Roman"/>
          <w:sz w:val="24"/>
          <w:szCs w:val="24"/>
        </w:rPr>
        <w:t>5</w:t>
      </w:r>
      <w:r>
        <w:rPr>
          <w:rFonts w:eastAsia="宋体" w:cs="Times New Roman"/>
          <w:sz w:val="24"/>
          <w:szCs w:val="24"/>
        </w:rPr>
        <w:t xml:space="preserve"> 透光率对淫羊藿次生代谢物含量的影响</w:t>
      </w:r>
    </w:p>
    <w:p>
      <w:pPr>
        <w:rPr>
          <w:rFonts w:eastAsia="仿宋" w:cs="Times New Roman"/>
          <w:sz w:val="24"/>
          <w:szCs w:val="24"/>
        </w:rPr>
      </w:pPr>
      <w:r>
        <w:rPr>
          <w:rFonts w:eastAsia="宋体" w:cs="Times New Roman"/>
          <w:sz w:val="24"/>
          <w:szCs w:val="24"/>
        </w:rPr>
        <w:t>注：大写字母表示同一指标不同处理下在0.05水平差异显著性，小写字母表示同一处理下不同指标在0.05水平差异显著性。下同。</w:t>
      </w:r>
    </w:p>
    <w:p>
      <w:pPr>
        <w:spacing w:line="360" w:lineRule="auto"/>
        <w:ind w:firstLine="481" w:firstLineChars="200"/>
        <w:rPr>
          <w:rFonts w:eastAsia="宋体" w:cs="Times New Roman"/>
          <w:b/>
          <w:sz w:val="24"/>
          <w:szCs w:val="24"/>
        </w:rPr>
      </w:pPr>
      <w:r>
        <w:rPr>
          <w:rFonts w:eastAsia="宋体" w:cs="Times New Roman"/>
          <w:b/>
          <w:sz w:val="24"/>
          <w:szCs w:val="24"/>
        </w:rPr>
        <w:t>2.</w:t>
      </w:r>
      <w:r>
        <w:rPr>
          <w:rFonts w:hint="eastAsia" w:eastAsia="宋体" w:cs="Times New Roman"/>
          <w:b/>
          <w:sz w:val="24"/>
          <w:szCs w:val="24"/>
        </w:rPr>
        <w:t>淫羊藿对光照的需求研究</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本研究设置1、2、3层黑色遮阳网对淫羊藿进行覆盖处理，1、2、3层黑色遮阳网分别等效为75%、50%和25%的透光率，以此来确定光照对淫羊藿的影响。结果表明随着透光率的下降，淫羊藿朝藿定A、朝藿定B、朝藿定C、淫羊藿苷的含量呈下降趋势，随着遮阴度的上升，淫羊藿呈现株高上升，叶宽、叶长变化不大，叶干重下降，次生代谢物产量下降的情况，</w:t>
      </w:r>
      <w:r>
        <w:rPr>
          <w:rFonts w:hint="eastAsia" w:eastAsia="宋体" w:cs="Times New Roman"/>
          <w:sz w:val="24"/>
          <w:szCs w:val="24"/>
        </w:rPr>
        <w:t>根据林地实际情况、遮阳网与树林的区别及淫羊藿长势</w:t>
      </w:r>
      <w:r>
        <w:rPr>
          <w:rFonts w:eastAsia="宋体" w:cs="Times New Roman"/>
          <w:sz w:val="24"/>
          <w:szCs w:val="24"/>
        </w:rPr>
        <w:t>确定透光率</w:t>
      </w:r>
      <w:r>
        <w:rPr>
          <w:rFonts w:hint="eastAsia" w:eastAsia="宋体" w:cs="Times New Roman"/>
          <w:sz w:val="24"/>
          <w:szCs w:val="24"/>
        </w:rPr>
        <w:t>30~70</w:t>
      </w:r>
      <w:r>
        <w:rPr>
          <w:rFonts w:eastAsia="宋体" w:cs="Times New Roman"/>
          <w:sz w:val="24"/>
          <w:szCs w:val="24"/>
        </w:rPr>
        <w:t>%</w:t>
      </w:r>
      <w:r>
        <w:rPr>
          <w:rFonts w:hint="eastAsia" w:eastAsia="宋体" w:cs="Times New Roman"/>
          <w:sz w:val="24"/>
          <w:szCs w:val="24"/>
        </w:rPr>
        <w:t>均可</w:t>
      </w:r>
      <w:r>
        <w:rPr>
          <w:rFonts w:eastAsia="宋体" w:cs="Times New Roman"/>
          <w:sz w:val="24"/>
          <w:szCs w:val="24"/>
        </w:rPr>
        <w:t>。</w:t>
      </w:r>
    </w:p>
    <w:p>
      <w:pPr>
        <w:ind w:firstLine="960" w:firstLineChars="400"/>
        <w:rPr>
          <w:rFonts w:eastAsia="宋体" w:cs="Times New Roman"/>
          <w:sz w:val="24"/>
          <w:szCs w:val="24"/>
        </w:rPr>
      </w:pPr>
    </w:p>
    <w:p>
      <w:pPr>
        <w:ind w:firstLine="960" w:firstLineChars="400"/>
        <w:rPr>
          <w:rFonts w:eastAsia="宋体" w:cs="Times New Roman"/>
          <w:sz w:val="24"/>
          <w:szCs w:val="24"/>
        </w:rPr>
      </w:pPr>
    </w:p>
    <w:p>
      <w:pPr>
        <w:ind w:firstLine="960" w:firstLineChars="400"/>
        <w:rPr>
          <w:rFonts w:eastAsia="宋体" w:cs="Times New Roman"/>
          <w:sz w:val="24"/>
          <w:szCs w:val="24"/>
        </w:rPr>
      </w:pPr>
      <w:r>
        <w:rPr>
          <w:rFonts w:eastAsia="宋体" w:cs="Times New Roman"/>
          <w:sz w:val="24"/>
          <w:szCs w:val="24"/>
        </w:rPr>
        <w:t>表2氮（N）、磷（P）、钾（K）养分配比实验设计（75%透光率）</w:t>
      </w:r>
    </w:p>
    <w:tbl>
      <w:tblPr>
        <w:tblStyle w:val="6"/>
        <w:tblW w:w="5000" w:type="pct"/>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5000" w:type="pct"/>
            <w:tcBorders>
              <w:top w:val="single" w:color="auto" w:sz="8" w:space="0"/>
              <w:bottom w:val="single" w:color="auto" w:sz="8" w:space="0"/>
            </w:tcBorders>
            <w:vAlign w:val="center"/>
          </w:tcPr>
          <w:p>
            <w:pPr>
              <w:jc w:val="center"/>
              <w:rPr>
                <w:rFonts w:eastAsia="仿宋" w:cs="Times New Roman"/>
                <w:sz w:val="24"/>
                <w:szCs w:val="24"/>
              </w:rPr>
            </w:pPr>
            <w:r>
              <w:rPr>
                <w:rFonts w:eastAsia="仿宋" w:cs="Times New Roman"/>
                <w:sz w:val="24"/>
                <w:szCs w:val="24"/>
              </w:rPr>
              <w:t>N</w:t>
            </w:r>
            <w:r>
              <w:rPr>
                <w:rFonts w:hint="eastAsia" w:eastAsia="仿宋" w:cs="Times New Roman"/>
                <w:sz w:val="24"/>
                <w:szCs w:val="24"/>
              </w:rPr>
              <w:t>：</w:t>
            </w:r>
            <w:r>
              <w:rPr>
                <w:rFonts w:eastAsia="仿宋" w:cs="Times New Roman"/>
                <w:sz w:val="24"/>
                <w:szCs w:val="24"/>
              </w:rPr>
              <w:t>P</w:t>
            </w:r>
            <w:r>
              <w:rPr>
                <w:rFonts w:hint="eastAsia" w:eastAsia="仿宋" w:cs="Times New Roman"/>
                <w:sz w:val="24"/>
                <w:szCs w:val="24"/>
              </w:rPr>
              <w:t>：</w:t>
            </w:r>
            <w:r>
              <w:rPr>
                <w:rFonts w:eastAsia="仿宋" w:cs="Times New Roman"/>
                <w:sz w:val="24"/>
                <w:szCs w:val="24"/>
              </w:rPr>
              <w:t>K</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5000" w:type="pct"/>
            <w:tcBorders>
              <w:top w:val="single" w:color="auto" w:sz="8" w:space="0"/>
            </w:tcBorders>
            <w:vAlign w:val="center"/>
          </w:tcPr>
          <w:p>
            <w:pPr>
              <w:jc w:val="center"/>
              <w:rPr>
                <w:rFonts w:eastAsia="仿宋" w:cs="Times New Roman"/>
                <w:sz w:val="24"/>
                <w:szCs w:val="24"/>
              </w:rPr>
            </w:pPr>
            <w:r>
              <w:rPr>
                <w:rFonts w:eastAsia="仿宋" w:cs="Times New Roman"/>
                <w:sz w:val="24"/>
                <w:szCs w:val="24"/>
              </w:rPr>
              <w:t>10:10:10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5000" w:type="pct"/>
            <w:vAlign w:val="center"/>
          </w:tcPr>
          <w:p>
            <w:pPr>
              <w:jc w:val="center"/>
              <w:rPr>
                <w:rFonts w:eastAsia="仿宋" w:cs="Times New Roman"/>
                <w:sz w:val="24"/>
                <w:szCs w:val="24"/>
              </w:rPr>
            </w:pPr>
            <w:r>
              <w:rPr>
                <w:rFonts w:eastAsia="仿宋" w:cs="Times New Roman"/>
                <w:sz w:val="24"/>
                <w:szCs w:val="24"/>
              </w:rPr>
              <w:t>10:20:10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327" w:hRule="atLeast"/>
        </w:trPr>
        <w:tc>
          <w:tcPr>
            <w:tcW w:w="5000" w:type="pct"/>
            <w:vAlign w:val="center"/>
          </w:tcPr>
          <w:p>
            <w:pPr>
              <w:jc w:val="center"/>
              <w:rPr>
                <w:rFonts w:eastAsia="仿宋" w:cs="Times New Roman"/>
                <w:sz w:val="24"/>
                <w:szCs w:val="24"/>
              </w:rPr>
            </w:pPr>
            <w:r>
              <w:rPr>
                <w:rFonts w:eastAsia="仿宋" w:cs="Times New Roman"/>
                <w:sz w:val="24"/>
                <w:szCs w:val="24"/>
              </w:rPr>
              <w:t>15:20:10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5000" w:type="pct"/>
            <w:vAlign w:val="center"/>
          </w:tcPr>
          <w:p>
            <w:pPr>
              <w:jc w:val="center"/>
              <w:rPr>
                <w:rFonts w:eastAsia="仿宋" w:cs="Times New Roman"/>
                <w:sz w:val="24"/>
                <w:szCs w:val="24"/>
              </w:rPr>
            </w:pPr>
            <w:r>
              <w:rPr>
                <w:rFonts w:eastAsia="仿宋" w:cs="Times New Roman"/>
                <w:sz w:val="24"/>
                <w:szCs w:val="24"/>
              </w:rPr>
              <w:t>15:20:20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5000" w:type="pct"/>
            <w:vAlign w:val="center"/>
          </w:tcPr>
          <w:p>
            <w:pPr>
              <w:jc w:val="center"/>
              <w:rPr>
                <w:rFonts w:eastAsia="仿宋" w:cs="Times New Roman"/>
                <w:sz w:val="24"/>
                <w:szCs w:val="24"/>
              </w:rPr>
            </w:pPr>
            <w:r>
              <w:rPr>
                <w:rFonts w:eastAsia="仿宋" w:cs="Times New Roman"/>
                <w:sz w:val="24"/>
                <w:szCs w:val="24"/>
              </w:rPr>
              <w:t>20:10:10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5000" w:type="pct"/>
            <w:tcBorders>
              <w:bottom w:val="single" w:color="auto" w:sz="8" w:space="0"/>
            </w:tcBorders>
            <w:vAlign w:val="center"/>
          </w:tcPr>
          <w:p>
            <w:pPr>
              <w:jc w:val="center"/>
              <w:rPr>
                <w:rFonts w:eastAsia="仿宋" w:cs="Times New Roman"/>
                <w:sz w:val="24"/>
                <w:szCs w:val="24"/>
              </w:rPr>
            </w:pPr>
            <w:r>
              <w:rPr>
                <w:rFonts w:eastAsia="仿宋" w:cs="Times New Roman"/>
                <w:sz w:val="24"/>
                <w:szCs w:val="24"/>
              </w:rPr>
              <w:t>20:15:10</w:t>
            </w:r>
          </w:p>
        </w:tc>
      </w:tr>
    </w:tbl>
    <w:p/>
    <w:p>
      <w:pPr>
        <w:jc w:val="center"/>
      </w:pPr>
      <w:r>
        <w:rPr>
          <w:rFonts w:hint="eastAsia"/>
        </w:rPr>
        <w:drawing>
          <wp:inline distT="0" distB="0" distL="0" distR="0">
            <wp:extent cx="5295900" cy="3025775"/>
            <wp:effectExtent l="0" t="0" r="0" b="3175"/>
            <wp:docPr id="1606079748"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06079748" name="图片 2"/>
                    <pic:cNvPicPr>
                      <a:picLocks noChangeAspect="true"/>
                    </pic:cNvPicPr>
                  </pic:nvPicPr>
                  <pic:blipFill>
                    <a:blip r:embed="rId14" cstate="print">
                      <a:extLst>
                        <a:ext uri="{28A0092B-C50C-407E-A947-70E740481C1C}">
                          <a14:useLocalDpi xmlns:a14="http://schemas.microsoft.com/office/drawing/2010/main" val="false"/>
                        </a:ext>
                      </a:extLst>
                    </a:blip>
                    <a:srcRect l="-1" t="8638" r="485" b="1873"/>
                    <a:stretch>
                      <a:fillRect/>
                    </a:stretch>
                  </pic:blipFill>
                  <pic:spPr>
                    <a:xfrm>
                      <a:off x="0" y="0"/>
                      <a:ext cx="5299730" cy="3028417"/>
                    </a:xfrm>
                    <a:prstGeom prst="rect">
                      <a:avLst/>
                    </a:prstGeom>
                    <a:ln>
                      <a:noFill/>
                    </a:ln>
                  </pic:spPr>
                </pic:pic>
              </a:graphicData>
            </a:graphic>
          </wp:inline>
        </w:drawing>
      </w:r>
    </w:p>
    <w:p>
      <w:pPr>
        <w:ind w:firstLine="1680" w:firstLineChars="700"/>
        <w:rPr>
          <w:rFonts w:eastAsia="宋体" w:cs="Times New Roman"/>
          <w:sz w:val="24"/>
          <w:szCs w:val="24"/>
        </w:rPr>
      </w:pPr>
      <w:r>
        <w:rPr>
          <w:rFonts w:eastAsia="宋体" w:cs="Times New Roman"/>
          <w:sz w:val="24"/>
          <w:szCs w:val="24"/>
        </w:rPr>
        <w:t>图</w:t>
      </w:r>
      <w:r>
        <w:rPr>
          <w:rFonts w:hint="eastAsia" w:eastAsia="宋体" w:cs="Times New Roman"/>
          <w:sz w:val="24"/>
          <w:szCs w:val="24"/>
        </w:rPr>
        <w:t>6</w:t>
      </w:r>
      <w:r>
        <w:rPr>
          <w:rFonts w:eastAsia="宋体" w:cs="Times New Roman"/>
          <w:sz w:val="24"/>
          <w:szCs w:val="24"/>
        </w:rPr>
        <w:t xml:space="preserve"> 养分配比对淫羊藿次生代谢物含量的影响</w:t>
      </w:r>
    </w:p>
    <w:p>
      <w:pPr>
        <w:spacing w:line="360" w:lineRule="auto"/>
        <w:ind w:firstLine="481" w:firstLineChars="200"/>
        <w:rPr>
          <w:rFonts w:eastAsia="宋体" w:cs="Times New Roman"/>
          <w:b/>
          <w:sz w:val="24"/>
          <w:szCs w:val="24"/>
        </w:rPr>
      </w:pPr>
      <w:r>
        <w:rPr>
          <w:rFonts w:eastAsia="宋体" w:cs="Times New Roman"/>
          <w:b/>
          <w:sz w:val="24"/>
          <w:szCs w:val="24"/>
        </w:rPr>
        <w:t>3.</w:t>
      </w:r>
      <w:r>
        <w:rPr>
          <w:rFonts w:hint="eastAsia" w:eastAsia="宋体" w:cs="Times New Roman"/>
          <w:b/>
          <w:sz w:val="24"/>
          <w:szCs w:val="24"/>
        </w:rPr>
        <w:t>淫羊藿对化肥的需求研究</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在75%的透光率下进行氮（N）、磷（P）、钾（K）养分配比实验，设置50 kg/亩施用化肥N、P、K</w:t>
      </w:r>
      <w:r>
        <w:rPr>
          <w:rFonts w:hint="eastAsia" w:eastAsia="宋体" w:cs="Times New Roman"/>
          <w:sz w:val="24"/>
          <w:szCs w:val="24"/>
        </w:rPr>
        <w:t>（尿素、过磷酸钙、氯化钾）</w:t>
      </w:r>
      <w:r>
        <w:rPr>
          <w:rFonts w:eastAsia="宋体" w:cs="Times New Roman"/>
          <w:sz w:val="24"/>
          <w:szCs w:val="24"/>
        </w:rPr>
        <w:t>的6个不同比例，在N:P:K=15:20:10时，淫羊藿朝藿定C和淫羊藿苷的含量显著高于其它养分配比，同时朝藿定A仅次于在养分配比为N:P:K=20:15:10时的含量。因此确定淫羊藿种植需要的化肥最佳养分比例为N:P:K=15:20:10。</w:t>
      </w:r>
    </w:p>
    <w:p>
      <w:pPr>
        <w:rPr>
          <w:rFonts w:eastAsia="仿宋" w:cs="Times New Roman"/>
        </w:rPr>
      </w:pPr>
    </w:p>
    <w:p>
      <w:pPr>
        <w:pStyle w:val="2"/>
        <w:ind w:left="0" w:leftChars="0" w:firstLine="0" w:firstLineChars="0"/>
      </w:pPr>
    </w:p>
    <w:p>
      <w:pPr>
        <w:rPr>
          <w:rFonts w:eastAsia="宋体" w:cs="Times New Roman"/>
          <w:sz w:val="24"/>
          <w:szCs w:val="24"/>
        </w:rPr>
      </w:pPr>
      <w:r>
        <w:rPr>
          <w:rFonts w:eastAsia="宋体" w:cs="Times New Roman"/>
          <w:sz w:val="24"/>
          <w:szCs w:val="24"/>
        </w:rPr>
        <w:t>表3 有机肥（牛羊粪与秸秆的腐熟物）+化肥（N:P:K=15:20:10）+遮光率+种植密度实验设计。</w:t>
      </w:r>
    </w:p>
    <w:tbl>
      <w:tblPr>
        <w:tblStyle w:val="6"/>
        <w:tblpPr w:leftFromText="180" w:rightFromText="180" w:vertAnchor="text" w:horzAnchor="margin" w:tblpXSpec="center" w:tblpY="131"/>
        <w:tblW w:w="8647" w:type="dxa"/>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666"/>
        <w:gridCol w:w="2299"/>
        <w:gridCol w:w="1411"/>
        <w:gridCol w:w="1271"/>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tcBorders>
              <w:top w:val="single" w:color="auto" w:sz="8" w:space="0"/>
              <w:bottom w:val="single" w:color="auto" w:sz="8" w:space="0"/>
            </w:tcBorders>
            <w:vAlign w:val="center"/>
          </w:tcPr>
          <w:p>
            <w:pPr>
              <w:jc w:val="center"/>
              <w:rPr>
                <w:rFonts w:eastAsia="宋体" w:cs="Times New Roman"/>
                <w:sz w:val="24"/>
                <w:szCs w:val="24"/>
              </w:rPr>
            </w:pPr>
            <w:r>
              <w:rPr>
                <w:rFonts w:eastAsia="宋体" w:cs="Times New Roman"/>
                <w:sz w:val="24"/>
                <w:szCs w:val="24"/>
              </w:rPr>
              <w:t>有机肥（牛羊粪与秸秆的腐熟物）</w:t>
            </w:r>
          </w:p>
        </w:tc>
        <w:tc>
          <w:tcPr>
            <w:tcW w:w="2268" w:type="dxa"/>
            <w:tcBorders>
              <w:top w:val="single" w:color="auto" w:sz="8" w:space="0"/>
              <w:bottom w:val="single" w:color="auto" w:sz="8" w:space="0"/>
            </w:tcBorders>
            <w:vAlign w:val="center"/>
          </w:tcPr>
          <w:p>
            <w:pPr>
              <w:jc w:val="center"/>
              <w:rPr>
                <w:rFonts w:eastAsia="宋体" w:cs="Times New Roman"/>
                <w:sz w:val="24"/>
                <w:szCs w:val="24"/>
              </w:rPr>
            </w:pPr>
            <w:r>
              <w:rPr>
                <w:rFonts w:eastAsia="宋体" w:cs="Times New Roman"/>
                <w:sz w:val="24"/>
                <w:szCs w:val="24"/>
              </w:rPr>
              <w:t>化肥 kg/亩（N:P:K=15:20:10）</w:t>
            </w:r>
          </w:p>
        </w:tc>
        <w:tc>
          <w:tcPr>
            <w:tcW w:w="1417" w:type="dxa"/>
            <w:tcBorders>
              <w:top w:val="single" w:color="auto" w:sz="8" w:space="0"/>
              <w:bottom w:val="single" w:color="auto" w:sz="8" w:space="0"/>
            </w:tcBorders>
            <w:vAlign w:val="center"/>
          </w:tcPr>
          <w:p>
            <w:pPr>
              <w:jc w:val="center"/>
              <w:rPr>
                <w:rFonts w:eastAsia="宋体" w:cs="Times New Roman"/>
                <w:sz w:val="24"/>
                <w:szCs w:val="24"/>
              </w:rPr>
            </w:pPr>
            <w:r>
              <w:rPr>
                <w:rFonts w:eastAsia="宋体" w:cs="Times New Roman"/>
                <w:sz w:val="24"/>
                <w:szCs w:val="24"/>
              </w:rPr>
              <w:t>遮光率</w:t>
            </w:r>
          </w:p>
        </w:tc>
        <w:tc>
          <w:tcPr>
            <w:tcW w:w="1276" w:type="dxa"/>
            <w:tcBorders>
              <w:top w:val="single" w:color="auto" w:sz="8" w:space="0"/>
              <w:bottom w:val="single" w:color="auto" w:sz="8" w:space="0"/>
            </w:tcBorders>
            <w:vAlign w:val="center"/>
          </w:tcPr>
          <w:p>
            <w:pPr>
              <w:jc w:val="center"/>
              <w:rPr>
                <w:rFonts w:eastAsia="宋体" w:cs="Times New Roman"/>
                <w:sz w:val="24"/>
                <w:szCs w:val="24"/>
              </w:rPr>
            </w:pPr>
            <w:r>
              <w:rPr>
                <w:rFonts w:eastAsia="宋体" w:cs="Times New Roman"/>
                <w:sz w:val="24"/>
                <w:szCs w:val="24"/>
              </w:rPr>
              <w:t>株距/cm</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318" w:hRule="atLeast"/>
        </w:trPr>
        <w:tc>
          <w:tcPr>
            <w:tcW w:w="3686" w:type="dxa"/>
            <w:vMerge w:val="restart"/>
            <w:tcBorders>
              <w:top w:val="single" w:color="auto" w:sz="8" w:space="0"/>
            </w:tcBorders>
            <w:vAlign w:val="center"/>
          </w:tcPr>
          <w:p>
            <w:pPr>
              <w:jc w:val="center"/>
              <w:rPr>
                <w:rFonts w:eastAsia="宋体" w:cs="Times New Roman"/>
                <w:sz w:val="24"/>
                <w:szCs w:val="24"/>
              </w:rPr>
            </w:pPr>
            <w:r>
              <w:rPr>
                <w:rFonts w:eastAsia="宋体" w:cs="Times New Roman"/>
                <w:sz w:val="24"/>
                <w:szCs w:val="24"/>
              </w:rPr>
              <w:t>有机肥1000kg/亩</w:t>
            </w:r>
          </w:p>
        </w:tc>
        <w:tc>
          <w:tcPr>
            <w:tcW w:w="2268" w:type="dxa"/>
            <w:tcBorders>
              <w:top w:val="single" w:color="auto" w:sz="8" w:space="0"/>
            </w:tcBorders>
            <w:vAlign w:val="center"/>
          </w:tcPr>
          <w:p>
            <w:pPr>
              <w:jc w:val="center"/>
              <w:rPr>
                <w:rFonts w:eastAsia="宋体" w:cs="Times New Roman"/>
                <w:sz w:val="24"/>
                <w:szCs w:val="24"/>
              </w:rPr>
            </w:pPr>
            <w:r>
              <w:rPr>
                <w:rFonts w:eastAsia="宋体" w:cs="Times New Roman"/>
                <w:sz w:val="24"/>
                <w:szCs w:val="24"/>
              </w:rPr>
              <w:t>40</w:t>
            </w:r>
          </w:p>
        </w:tc>
        <w:tc>
          <w:tcPr>
            <w:tcW w:w="1417" w:type="dxa"/>
            <w:tcBorders>
              <w:top w:val="single" w:color="auto" w:sz="8" w:space="0"/>
            </w:tcBorders>
            <w:vAlign w:val="center"/>
          </w:tcPr>
          <w:p>
            <w:pPr>
              <w:jc w:val="center"/>
              <w:rPr>
                <w:rFonts w:eastAsia="宋体" w:cs="Times New Roman"/>
                <w:sz w:val="24"/>
                <w:szCs w:val="24"/>
              </w:rPr>
            </w:pPr>
            <w:r>
              <w:rPr>
                <w:rFonts w:eastAsia="宋体" w:cs="Times New Roman"/>
                <w:sz w:val="24"/>
                <w:szCs w:val="24"/>
              </w:rPr>
              <w:t>70%</w:t>
            </w:r>
          </w:p>
        </w:tc>
        <w:tc>
          <w:tcPr>
            <w:tcW w:w="1276" w:type="dxa"/>
            <w:tcBorders>
              <w:top w:val="single" w:color="auto" w:sz="8" w:space="0"/>
            </w:tcBorders>
            <w:vAlign w:val="center"/>
          </w:tcPr>
          <w:p>
            <w:pPr>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vMerge w:val="continue"/>
            <w:vAlign w:val="center"/>
          </w:tcPr>
          <w:p>
            <w:pPr>
              <w:jc w:val="center"/>
              <w:rPr>
                <w:rFonts w:eastAsia="宋体" w:cs="Times New Roman"/>
                <w:sz w:val="24"/>
                <w:szCs w:val="24"/>
              </w:rPr>
            </w:pPr>
          </w:p>
        </w:tc>
        <w:tc>
          <w:tcPr>
            <w:tcW w:w="2268" w:type="dxa"/>
            <w:vAlign w:val="center"/>
          </w:tcPr>
          <w:p>
            <w:pPr>
              <w:jc w:val="center"/>
              <w:rPr>
                <w:rFonts w:eastAsia="宋体" w:cs="Times New Roman"/>
                <w:sz w:val="24"/>
                <w:szCs w:val="24"/>
              </w:rPr>
            </w:pPr>
            <w:r>
              <w:rPr>
                <w:rFonts w:eastAsia="宋体" w:cs="Times New Roman"/>
                <w:sz w:val="24"/>
                <w:szCs w:val="24"/>
              </w:rPr>
              <w:t>50</w:t>
            </w:r>
          </w:p>
        </w:tc>
        <w:tc>
          <w:tcPr>
            <w:tcW w:w="1417" w:type="dxa"/>
            <w:vAlign w:val="center"/>
          </w:tcPr>
          <w:p>
            <w:pPr>
              <w:jc w:val="center"/>
              <w:rPr>
                <w:rFonts w:eastAsia="宋体" w:cs="Times New Roman"/>
                <w:sz w:val="24"/>
                <w:szCs w:val="24"/>
              </w:rPr>
            </w:pPr>
            <w:r>
              <w:rPr>
                <w:rFonts w:eastAsia="宋体" w:cs="Times New Roman"/>
                <w:sz w:val="24"/>
                <w:szCs w:val="24"/>
              </w:rPr>
              <w:t>75%</w:t>
            </w:r>
          </w:p>
        </w:tc>
        <w:tc>
          <w:tcPr>
            <w:tcW w:w="1276" w:type="dxa"/>
            <w:vAlign w:val="center"/>
          </w:tcPr>
          <w:p>
            <w:pPr>
              <w:jc w:val="center"/>
              <w:rPr>
                <w:rFonts w:eastAsia="宋体" w:cs="Times New Roman"/>
                <w:sz w:val="24"/>
                <w:szCs w:val="24"/>
              </w:rPr>
            </w:pPr>
            <w:r>
              <w:rPr>
                <w:rFonts w:eastAsia="宋体" w:cs="Times New Roman"/>
                <w:sz w:val="24"/>
                <w:szCs w:val="24"/>
              </w:rPr>
              <w:t>25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8" w:hRule="atLeast"/>
        </w:trPr>
        <w:tc>
          <w:tcPr>
            <w:tcW w:w="3686" w:type="dxa"/>
            <w:vMerge w:val="continue"/>
            <w:vAlign w:val="center"/>
          </w:tcPr>
          <w:p>
            <w:pPr>
              <w:jc w:val="center"/>
              <w:rPr>
                <w:rFonts w:eastAsia="宋体" w:cs="Times New Roman"/>
                <w:sz w:val="24"/>
                <w:szCs w:val="24"/>
              </w:rPr>
            </w:pPr>
          </w:p>
        </w:tc>
        <w:tc>
          <w:tcPr>
            <w:tcW w:w="2268" w:type="dxa"/>
            <w:vAlign w:val="center"/>
          </w:tcPr>
          <w:p>
            <w:pPr>
              <w:jc w:val="center"/>
              <w:rPr>
                <w:rFonts w:eastAsia="宋体" w:cs="Times New Roman"/>
                <w:sz w:val="24"/>
                <w:szCs w:val="24"/>
              </w:rPr>
            </w:pPr>
            <w:r>
              <w:rPr>
                <w:rFonts w:eastAsia="宋体" w:cs="Times New Roman"/>
                <w:sz w:val="24"/>
                <w:szCs w:val="24"/>
              </w:rPr>
              <w:t>60</w:t>
            </w:r>
          </w:p>
        </w:tc>
        <w:tc>
          <w:tcPr>
            <w:tcW w:w="1417" w:type="dxa"/>
            <w:vAlign w:val="center"/>
          </w:tcPr>
          <w:p>
            <w:pPr>
              <w:jc w:val="center"/>
              <w:rPr>
                <w:rFonts w:eastAsia="宋体" w:cs="Times New Roman"/>
                <w:sz w:val="24"/>
                <w:szCs w:val="24"/>
              </w:rPr>
            </w:pPr>
            <w:r>
              <w:rPr>
                <w:rFonts w:eastAsia="宋体" w:cs="Times New Roman"/>
                <w:sz w:val="24"/>
                <w:szCs w:val="24"/>
              </w:rPr>
              <w:t>80%</w:t>
            </w:r>
          </w:p>
        </w:tc>
        <w:tc>
          <w:tcPr>
            <w:tcW w:w="1276" w:type="dxa"/>
            <w:vAlign w:val="center"/>
          </w:tcPr>
          <w:p>
            <w:pPr>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vMerge w:val="restart"/>
            <w:vAlign w:val="center"/>
          </w:tcPr>
          <w:p>
            <w:pPr>
              <w:jc w:val="center"/>
              <w:rPr>
                <w:rFonts w:eastAsia="宋体" w:cs="Times New Roman"/>
                <w:sz w:val="24"/>
                <w:szCs w:val="24"/>
              </w:rPr>
            </w:pPr>
            <w:r>
              <w:rPr>
                <w:rFonts w:eastAsia="宋体" w:cs="Times New Roman"/>
                <w:sz w:val="24"/>
                <w:szCs w:val="24"/>
              </w:rPr>
              <w:t>有机肥1500kg/亩</w:t>
            </w:r>
          </w:p>
        </w:tc>
        <w:tc>
          <w:tcPr>
            <w:tcW w:w="2268" w:type="dxa"/>
            <w:vAlign w:val="center"/>
          </w:tcPr>
          <w:p>
            <w:pPr>
              <w:jc w:val="center"/>
              <w:rPr>
                <w:rFonts w:eastAsia="宋体" w:cs="Times New Roman"/>
                <w:sz w:val="24"/>
                <w:szCs w:val="24"/>
              </w:rPr>
            </w:pPr>
            <w:r>
              <w:rPr>
                <w:rFonts w:eastAsia="宋体" w:cs="Times New Roman"/>
                <w:sz w:val="24"/>
                <w:szCs w:val="24"/>
              </w:rPr>
              <w:t>50</w:t>
            </w:r>
          </w:p>
        </w:tc>
        <w:tc>
          <w:tcPr>
            <w:tcW w:w="1417" w:type="dxa"/>
            <w:vAlign w:val="center"/>
          </w:tcPr>
          <w:p>
            <w:pPr>
              <w:jc w:val="center"/>
              <w:rPr>
                <w:rFonts w:eastAsia="宋体" w:cs="Times New Roman"/>
                <w:sz w:val="24"/>
                <w:szCs w:val="24"/>
              </w:rPr>
            </w:pPr>
            <w:r>
              <w:rPr>
                <w:rFonts w:eastAsia="宋体" w:cs="Times New Roman"/>
                <w:sz w:val="24"/>
                <w:szCs w:val="24"/>
              </w:rPr>
              <w:t>70%</w:t>
            </w:r>
          </w:p>
        </w:tc>
        <w:tc>
          <w:tcPr>
            <w:tcW w:w="1276" w:type="dxa"/>
            <w:vAlign w:val="center"/>
          </w:tcPr>
          <w:p>
            <w:pPr>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8" w:hRule="atLeast"/>
        </w:trPr>
        <w:tc>
          <w:tcPr>
            <w:tcW w:w="3686" w:type="dxa"/>
            <w:vMerge w:val="continue"/>
            <w:vAlign w:val="center"/>
          </w:tcPr>
          <w:p>
            <w:pPr>
              <w:jc w:val="center"/>
              <w:rPr>
                <w:rFonts w:eastAsia="宋体" w:cs="Times New Roman"/>
                <w:sz w:val="24"/>
                <w:szCs w:val="24"/>
              </w:rPr>
            </w:pPr>
          </w:p>
        </w:tc>
        <w:tc>
          <w:tcPr>
            <w:tcW w:w="2268" w:type="dxa"/>
            <w:vAlign w:val="center"/>
          </w:tcPr>
          <w:p>
            <w:pPr>
              <w:jc w:val="center"/>
              <w:rPr>
                <w:rFonts w:eastAsia="宋体" w:cs="Times New Roman"/>
                <w:sz w:val="24"/>
                <w:szCs w:val="24"/>
              </w:rPr>
            </w:pPr>
            <w:r>
              <w:rPr>
                <w:rFonts w:eastAsia="宋体" w:cs="Times New Roman"/>
                <w:sz w:val="24"/>
                <w:szCs w:val="24"/>
              </w:rPr>
              <w:t>60</w:t>
            </w:r>
          </w:p>
        </w:tc>
        <w:tc>
          <w:tcPr>
            <w:tcW w:w="1417" w:type="dxa"/>
            <w:vAlign w:val="center"/>
          </w:tcPr>
          <w:p>
            <w:pPr>
              <w:jc w:val="center"/>
              <w:rPr>
                <w:rFonts w:eastAsia="宋体" w:cs="Times New Roman"/>
                <w:sz w:val="24"/>
                <w:szCs w:val="24"/>
              </w:rPr>
            </w:pPr>
            <w:r>
              <w:rPr>
                <w:rFonts w:eastAsia="宋体" w:cs="Times New Roman"/>
                <w:sz w:val="24"/>
                <w:szCs w:val="24"/>
              </w:rPr>
              <w:t>75%</w:t>
            </w:r>
          </w:p>
        </w:tc>
        <w:tc>
          <w:tcPr>
            <w:tcW w:w="1276" w:type="dxa"/>
            <w:vAlign w:val="center"/>
          </w:tcPr>
          <w:p>
            <w:pPr>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vMerge w:val="continue"/>
            <w:vAlign w:val="center"/>
          </w:tcPr>
          <w:p>
            <w:pPr>
              <w:jc w:val="center"/>
              <w:rPr>
                <w:rFonts w:eastAsia="宋体" w:cs="Times New Roman"/>
                <w:sz w:val="24"/>
                <w:szCs w:val="24"/>
              </w:rPr>
            </w:pPr>
          </w:p>
        </w:tc>
        <w:tc>
          <w:tcPr>
            <w:tcW w:w="2268" w:type="dxa"/>
            <w:vAlign w:val="center"/>
          </w:tcPr>
          <w:p>
            <w:pPr>
              <w:jc w:val="center"/>
              <w:rPr>
                <w:rFonts w:eastAsia="宋体" w:cs="Times New Roman"/>
                <w:sz w:val="24"/>
                <w:szCs w:val="24"/>
              </w:rPr>
            </w:pPr>
            <w:r>
              <w:rPr>
                <w:rFonts w:eastAsia="宋体" w:cs="Times New Roman"/>
                <w:sz w:val="24"/>
                <w:szCs w:val="24"/>
              </w:rPr>
              <w:t>40</w:t>
            </w:r>
          </w:p>
        </w:tc>
        <w:tc>
          <w:tcPr>
            <w:tcW w:w="1417" w:type="dxa"/>
            <w:vAlign w:val="center"/>
          </w:tcPr>
          <w:p>
            <w:pPr>
              <w:jc w:val="center"/>
              <w:rPr>
                <w:rFonts w:eastAsia="宋体" w:cs="Times New Roman"/>
                <w:sz w:val="24"/>
                <w:szCs w:val="24"/>
              </w:rPr>
            </w:pPr>
            <w:r>
              <w:rPr>
                <w:rFonts w:eastAsia="宋体" w:cs="Times New Roman"/>
                <w:sz w:val="24"/>
                <w:szCs w:val="24"/>
              </w:rPr>
              <w:t>80%</w:t>
            </w:r>
          </w:p>
        </w:tc>
        <w:tc>
          <w:tcPr>
            <w:tcW w:w="1276" w:type="dxa"/>
            <w:vAlign w:val="center"/>
          </w:tcPr>
          <w:p>
            <w:pPr>
              <w:jc w:val="center"/>
              <w:rPr>
                <w:rFonts w:eastAsia="宋体" w:cs="Times New Roman"/>
                <w:sz w:val="24"/>
                <w:szCs w:val="24"/>
              </w:rPr>
            </w:pPr>
            <w:r>
              <w:rPr>
                <w:rFonts w:eastAsia="宋体" w:cs="Times New Roman"/>
                <w:sz w:val="24"/>
                <w:szCs w:val="24"/>
              </w:rPr>
              <w:t>25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vMerge w:val="restart"/>
            <w:vAlign w:val="center"/>
          </w:tcPr>
          <w:p>
            <w:pPr>
              <w:jc w:val="center"/>
              <w:rPr>
                <w:rFonts w:eastAsia="宋体" w:cs="Times New Roman"/>
                <w:sz w:val="24"/>
                <w:szCs w:val="24"/>
              </w:rPr>
            </w:pPr>
            <w:r>
              <w:rPr>
                <w:rFonts w:eastAsia="宋体" w:cs="Times New Roman"/>
                <w:sz w:val="24"/>
                <w:szCs w:val="24"/>
              </w:rPr>
              <w:t>有机肥2000kg/亩</w:t>
            </w:r>
          </w:p>
        </w:tc>
        <w:tc>
          <w:tcPr>
            <w:tcW w:w="2268" w:type="dxa"/>
            <w:vAlign w:val="center"/>
          </w:tcPr>
          <w:p>
            <w:pPr>
              <w:jc w:val="center"/>
              <w:rPr>
                <w:rFonts w:eastAsia="宋体" w:cs="Times New Roman"/>
                <w:sz w:val="24"/>
                <w:szCs w:val="24"/>
              </w:rPr>
            </w:pPr>
            <w:r>
              <w:rPr>
                <w:rFonts w:eastAsia="宋体" w:cs="Times New Roman"/>
                <w:sz w:val="24"/>
                <w:szCs w:val="24"/>
              </w:rPr>
              <w:t>60</w:t>
            </w:r>
          </w:p>
        </w:tc>
        <w:tc>
          <w:tcPr>
            <w:tcW w:w="1417" w:type="dxa"/>
            <w:vAlign w:val="center"/>
          </w:tcPr>
          <w:p>
            <w:pPr>
              <w:jc w:val="center"/>
              <w:rPr>
                <w:rFonts w:eastAsia="宋体" w:cs="Times New Roman"/>
                <w:sz w:val="24"/>
                <w:szCs w:val="24"/>
              </w:rPr>
            </w:pPr>
            <w:r>
              <w:rPr>
                <w:rFonts w:eastAsia="宋体" w:cs="Times New Roman"/>
                <w:sz w:val="24"/>
                <w:szCs w:val="24"/>
              </w:rPr>
              <w:t>70%</w:t>
            </w:r>
          </w:p>
        </w:tc>
        <w:tc>
          <w:tcPr>
            <w:tcW w:w="1276" w:type="dxa"/>
            <w:vAlign w:val="center"/>
          </w:tcPr>
          <w:p>
            <w:pPr>
              <w:jc w:val="center"/>
              <w:rPr>
                <w:rFonts w:eastAsia="宋体" w:cs="Times New Roman"/>
                <w:sz w:val="24"/>
                <w:szCs w:val="24"/>
              </w:rPr>
            </w:pPr>
            <w:r>
              <w:rPr>
                <w:rFonts w:eastAsia="宋体" w:cs="Times New Roman"/>
                <w:sz w:val="24"/>
                <w:szCs w:val="24"/>
              </w:rPr>
              <w:t>25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vMerge w:val="continue"/>
            <w:vAlign w:val="center"/>
          </w:tcPr>
          <w:p>
            <w:pPr>
              <w:jc w:val="center"/>
              <w:rPr>
                <w:rFonts w:eastAsia="宋体" w:cs="Times New Roman"/>
                <w:sz w:val="24"/>
                <w:szCs w:val="24"/>
              </w:rPr>
            </w:pPr>
          </w:p>
        </w:tc>
        <w:tc>
          <w:tcPr>
            <w:tcW w:w="2268" w:type="dxa"/>
            <w:vAlign w:val="center"/>
          </w:tcPr>
          <w:p>
            <w:pPr>
              <w:jc w:val="center"/>
              <w:rPr>
                <w:rFonts w:eastAsia="宋体" w:cs="Times New Roman"/>
                <w:sz w:val="24"/>
                <w:szCs w:val="24"/>
              </w:rPr>
            </w:pPr>
            <w:r>
              <w:rPr>
                <w:rFonts w:eastAsia="宋体" w:cs="Times New Roman"/>
                <w:sz w:val="24"/>
                <w:szCs w:val="24"/>
              </w:rPr>
              <w:t>40</w:t>
            </w:r>
          </w:p>
        </w:tc>
        <w:tc>
          <w:tcPr>
            <w:tcW w:w="1417" w:type="dxa"/>
            <w:vAlign w:val="center"/>
          </w:tcPr>
          <w:p>
            <w:pPr>
              <w:jc w:val="center"/>
              <w:rPr>
                <w:rFonts w:eastAsia="宋体" w:cs="Times New Roman"/>
                <w:sz w:val="24"/>
                <w:szCs w:val="24"/>
              </w:rPr>
            </w:pPr>
            <w:r>
              <w:rPr>
                <w:rFonts w:eastAsia="宋体" w:cs="Times New Roman"/>
                <w:sz w:val="24"/>
                <w:szCs w:val="24"/>
              </w:rPr>
              <w:t>75%</w:t>
            </w:r>
          </w:p>
        </w:tc>
        <w:tc>
          <w:tcPr>
            <w:tcW w:w="1276" w:type="dxa"/>
            <w:vAlign w:val="center"/>
          </w:tcPr>
          <w:p>
            <w:pPr>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3686" w:type="dxa"/>
            <w:vMerge w:val="continue"/>
            <w:tcBorders>
              <w:bottom w:val="single" w:color="auto" w:sz="8" w:space="0"/>
            </w:tcBorders>
            <w:vAlign w:val="center"/>
          </w:tcPr>
          <w:p>
            <w:pPr>
              <w:jc w:val="center"/>
              <w:rPr>
                <w:rFonts w:eastAsia="宋体" w:cs="Times New Roman"/>
                <w:sz w:val="24"/>
                <w:szCs w:val="24"/>
              </w:rPr>
            </w:pPr>
          </w:p>
        </w:tc>
        <w:tc>
          <w:tcPr>
            <w:tcW w:w="2268" w:type="dxa"/>
            <w:tcBorders>
              <w:bottom w:val="single" w:color="auto" w:sz="8" w:space="0"/>
            </w:tcBorders>
            <w:vAlign w:val="center"/>
          </w:tcPr>
          <w:p>
            <w:pPr>
              <w:jc w:val="center"/>
              <w:rPr>
                <w:rFonts w:eastAsia="宋体" w:cs="Times New Roman"/>
                <w:sz w:val="24"/>
                <w:szCs w:val="24"/>
              </w:rPr>
            </w:pPr>
            <w:r>
              <w:rPr>
                <w:rFonts w:eastAsia="宋体" w:cs="Times New Roman"/>
                <w:sz w:val="24"/>
                <w:szCs w:val="24"/>
              </w:rPr>
              <w:t>50</w:t>
            </w:r>
          </w:p>
        </w:tc>
        <w:tc>
          <w:tcPr>
            <w:tcW w:w="1417" w:type="dxa"/>
            <w:tcBorders>
              <w:bottom w:val="single" w:color="auto" w:sz="8" w:space="0"/>
            </w:tcBorders>
            <w:vAlign w:val="center"/>
          </w:tcPr>
          <w:p>
            <w:pPr>
              <w:jc w:val="center"/>
              <w:rPr>
                <w:rFonts w:eastAsia="宋体" w:cs="Times New Roman"/>
                <w:sz w:val="24"/>
                <w:szCs w:val="24"/>
              </w:rPr>
            </w:pPr>
            <w:r>
              <w:rPr>
                <w:rFonts w:eastAsia="宋体" w:cs="Times New Roman"/>
                <w:sz w:val="24"/>
                <w:szCs w:val="24"/>
              </w:rPr>
              <w:t>80%</w:t>
            </w:r>
          </w:p>
        </w:tc>
        <w:tc>
          <w:tcPr>
            <w:tcW w:w="1276" w:type="dxa"/>
            <w:tcBorders>
              <w:bottom w:val="single" w:color="auto" w:sz="8" w:space="0"/>
            </w:tcBorders>
            <w:vAlign w:val="center"/>
          </w:tcPr>
          <w:p>
            <w:pPr>
              <w:jc w:val="center"/>
              <w:rPr>
                <w:rFonts w:eastAsia="宋体" w:cs="Times New Roman"/>
                <w:sz w:val="24"/>
                <w:szCs w:val="24"/>
              </w:rPr>
            </w:pPr>
            <w:r>
              <w:rPr>
                <w:rFonts w:eastAsia="宋体" w:cs="Times New Roman"/>
                <w:sz w:val="24"/>
                <w:szCs w:val="24"/>
              </w:rPr>
              <w:t>20</w:t>
            </w:r>
          </w:p>
        </w:tc>
      </w:tr>
    </w:tbl>
    <w:p/>
    <w:p>
      <w:pPr>
        <w:ind w:firstLine="1280" w:firstLineChars="400"/>
      </w:pPr>
      <w:r>
        <w:rPr>
          <w:rFonts w:hint="eastAsia"/>
        </w:rPr>
        <w:drawing>
          <wp:inline distT="0" distB="0" distL="0" distR="0">
            <wp:extent cx="4062730" cy="4046855"/>
            <wp:effectExtent l="0" t="0" r="0" b="0"/>
            <wp:docPr id="193647416"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3647416" name="图片 3"/>
                    <pic:cNvPicPr>
                      <a:picLocks noChangeAspect="true"/>
                    </pic:cNvPicPr>
                  </pic:nvPicPr>
                  <pic:blipFill>
                    <a:blip r:embed="rId15" cstate="print">
                      <a:extLst>
                        <a:ext uri="{28A0092B-C50C-407E-A947-70E740481C1C}">
                          <a14:useLocalDpi xmlns:a14="http://schemas.microsoft.com/office/drawing/2010/main" val="false"/>
                        </a:ext>
                      </a:extLst>
                    </a:blip>
                    <a:srcRect l="2288" t="4753" r="3684" b="2827"/>
                    <a:stretch>
                      <a:fillRect/>
                    </a:stretch>
                  </pic:blipFill>
                  <pic:spPr>
                    <a:xfrm>
                      <a:off x="0" y="0"/>
                      <a:ext cx="4074555" cy="4058902"/>
                    </a:xfrm>
                    <a:prstGeom prst="rect">
                      <a:avLst/>
                    </a:prstGeom>
                    <a:ln>
                      <a:noFill/>
                    </a:ln>
                  </pic:spPr>
                </pic:pic>
              </a:graphicData>
            </a:graphic>
          </wp:inline>
        </w:drawing>
      </w:r>
    </w:p>
    <w:p>
      <w:pPr>
        <w:ind w:firstLine="960" w:firstLineChars="400"/>
        <w:rPr>
          <w:rFonts w:eastAsia="宋体" w:cs="Times New Roman"/>
          <w:sz w:val="24"/>
          <w:szCs w:val="24"/>
        </w:rPr>
      </w:pPr>
      <w:r>
        <w:rPr>
          <w:rFonts w:eastAsia="宋体" w:cs="Times New Roman"/>
          <w:sz w:val="24"/>
          <w:szCs w:val="24"/>
        </w:rPr>
        <w:t>图</w:t>
      </w:r>
      <w:r>
        <w:rPr>
          <w:rFonts w:hint="eastAsia" w:eastAsia="宋体" w:cs="Times New Roman"/>
          <w:sz w:val="24"/>
          <w:szCs w:val="24"/>
        </w:rPr>
        <w:t>7</w:t>
      </w:r>
      <w:r>
        <w:rPr>
          <w:rFonts w:eastAsia="宋体" w:cs="Times New Roman"/>
          <w:sz w:val="24"/>
          <w:szCs w:val="24"/>
        </w:rPr>
        <w:t xml:space="preserve"> 多因素对淫羊藿产量、成活率和次生代谢物含量的影响</w:t>
      </w:r>
    </w:p>
    <w:p>
      <w:pPr>
        <w:ind w:firstLine="1920" w:firstLineChars="800"/>
        <w:rPr>
          <w:rFonts w:eastAsia="宋体" w:cs="Times New Roman"/>
          <w:b/>
          <w:sz w:val="28"/>
          <w:szCs w:val="28"/>
        </w:rPr>
      </w:pPr>
      <w:r>
        <w:rPr>
          <w:rFonts w:eastAsia="宋体" w:cs="Times New Roman"/>
          <w:sz w:val="24"/>
          <w:szCs w:val="24"/>
        </w:rPr>
        <w:t>注：A为产量、B为成活率、C为次生代谢物</w:t>
      </w:r>
    </w:p>
    <w:p>
      <w:pPr>
        <w:spacing w:line="360" w:lineRule="auto"/>
        <w:ind w:firstLine="481" w:firstLineChars="200"/>
        <w:rPr>
          <w:rFonts w:eastAsia="宋体" w:cs="Times New Roman"/>
          <w:b/>
          <w:sz w:val="24"/>
          <w:szCs w:val="24"/>
        </w:rPr>
      </w:pPr>
      <w:r>
        <w:rPr>
          <w:rFonts w:eastAsia="宋体" w:cs="Times New Roman"/>
          <w:b/>
          <w:sz w:val="24"/>
          <w:szCs w:val="24"/>
        </w:rPr>
        <w:t>4.</w:t>
      </w:r>
      <w:r>
        <w:rPr>
          <w:rFonts w:hint="eastAsia" w:eastAsia="宋体" w:cs="Times New Roman"/>
          <w:b/>
          <w:sz w:val="24"/>
          <w:szCs w:val="24"/>
        </w:rPr>
        <w:t>淫羊藿对有机肥与化肥的配施研究</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进行有机肥（牛羊粪与秸秆的腐熟物）+化肥（N:P:K=15:20:10）+遮光率+种植密度实验，设置9个不同处理，分别测定成活率、产量、朝藿定A、B、C、淫羊藿苷的数值，结果表明株距对成活率和产量的影响较大，肥料的施加提高了朝藿定C的含量，最佳组合为施用有机肥1500kg/亩+50kg化肥（N:P:K=15:20:10），遮阳网透光率选择为75%，株距为20cm。</w:t>
      </w:r>
    </w:p>
    <w:p>
      <w:pPr>
        <w:adjustRightInd w:val="0"/>
        <w:snapToGrid w:val="0"/>
        <w:ind w:firstLine="560" w:firstLineChars="200"/>
        <w:rPr>
          <w:rFonts w:eastAsia="宋体" w:cs="Times New Roman"/>
          <w:sz w:val="28"/>
          <w:szCs w:val="28"/>
        </w:rPr>
      </w:pPr>
    </w:p>
    <w:p>
      <w:pPr>
        <w:spacing w:line="360" w:lineRule="auto"/>
        <w:ind w:firstLine="1200" w:firstLineChars="500"/>
        <w:rPr>
          <w:rFonts w:eastAsia="仿宋" w:cs="Times New Roman"/>
          <w:sz w:val="24"/>
          <w:szCs w:val="24"/>
        </w:rPr>
      </w:pPr>
      <w:r>
        <w:rPr>
          <w:rFonts w:eastAsia="仿宋" w:cs="Times New Roman"/>
          <w:sz w:val="24"/>
          <w:szCs w:val="24"/>
        </w:rPr>
        <w:drawing>
          <wp:inline distT="0" distB="0" distL="0" distR="0">
            <wp:extent cx="3474085" cy="2562225"/>
            <wp:effectExtent l="0" t="0" r="0" b="0"/>
            <wp:docPr id="1127879795"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27879795" name="图片 1"/>
                    <pic:cNvPicPr>
                      <a:picLocks noChangeAspect="true" noChangeArrowheads="true"/>
                    </pic:cNvPicPr>
                  </pic:nvPicPr>
                  <pic:blipFill>
                    <a:blip r:embed="rId16" cstate="print">
                      <a:extLst>
                        <a:ext uri="{28A0092B-C50C-407E-A947-70E740481C1C}">
                          <a14:useLocalDpi xmlns:a14="http://schemas.microsoft.com/office/drawing/2010/main" val="false"/>
                        </a:ext>
                      </a:extLst>
                    </a:blip>
                    <a:srcRect t="1237" r="8522" b="2283"/>
                    <a:stretch>
                      <a:fillRect/>
                    </a:stretch>
                  </pic:blipFill>
                  <pic:spPr>
                    <a:xfrm>
                      <a:off x="0" y="0"/>
                      <a:ext cx="3487356" cy="2571866"/>
                    </a:xfrm>
                    <a:prstGeom prst="rect">
                      <a:avLst/>
                    </a:prstGeom>
                    <a:noFill/>
                    <a:ln>
                      <a:noFill/>
                    </a:ln>
                  </pic:spPr>
                </pic:pic>
              </a:graphicData>
            </a:graphic>
          </wp:inline>
        </w:drawing>
      </w:r>
    </w:p>
    <w:p>
      <w:pPr>
        <w:spacing w:line="360" w:lineRule="auto"/>
        <w:ind w:firstLine="1920" w:firstLineChars="800"/>
        <w:rPr>
          <w:rFonts w:eastAsia="宋体" w:cs="Times New Roman"/>
          <w:sz w:val="24"/>
          <w:szCs w:val="24"/>
        </w:rPr>
      </w:pPr>
      <w:r>
        <w:rPr>
          <w:rFonts w:eastAsia="宋体" w:cs="Times New Roman"/>
          <w:sz w:val="24"/>
          <w:szCs w:val="24"/>
        </w:rPr>
        <w:t>图</w:t>
      </w:r>
      <w:r>
        <w:rPr>
          <w:rFonts w:hint="eastAsia" w:eastAsia="宋体" w:cs="Times New Roman"/>
          <w:sz w:val="24"/>
          <w:szCs w:val="24"/>
        </w:rPr>
        <w:t>8</w:t>
      </w:r>
      <w:r>
        <w:rPr>
          <w:rFonts w:eastAsia="宋体" w:cs="Times New Roman"/>
          <w:sz w:val="24"/>
          <w:szCs w:val="24"/>
        </w:rPr>
        <w:t xml:space="preserve"> 海拔对淫羊藿次生代谢物含量的影响</w:t>
      </w:r>
    </w:p>
    <w:p>
      <w:pPr>
        <w:spacing w:line="360" w:lineRule="auto"/>
        <w:ind w:firstLine="481" w:firstLineChars="200"/>
        <w:rPr>
          <w:rFonts w:eastAsia="宋体" w:cs="Times New Roman"/>
          <w:b/>
          <w:sz w:val="24"/>
          <w:szCs w:val="24"/>
        </w:rPr>
      </w:pPr>
      <w:r>
        <w:rPr>
          <w:rFonts w:eastAsia="宋体" w:cs="Times New Roman"/>
          <w:b/>
          <w:sz w:val="24"/>
          <w:szCs w:val="24"/>
        </w:rPr>
        <w:t>5.</w:t>
      </w:r>
      <w:r>
        <w:rPr>
          <w:rFonts w:hint="eastAsia" w:eastAsia="宋体" w:cs="Times New Roman"/>
          <w:b/>
          <w:sz w:val="24"/>
          <w:szCs w:val="24"/>
        </w:rPr>
        <w:t>淫羊藿适宜栽培海拔研究</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为确定淫羊藿生长的最佳海拔，本研究在分别在海拔为1150、1344、1459m处采集淫羊藿，并对其进行次生代谢物含量的测定。研究结果表明，淫羊藿的朝藿定C和淫羊藿苷的含量在1344m时显著高于其他两个海拔，1150m处采集的淫羊藿的朝藿定A和朝藿定B最高，因此确定淫羊藿的最佳种植海拔位于1150~1344m。</w:t>
      </w: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ind w:firstLine="560" w:firstLineChars="200"/>
        <w:rPr>
          <w:rFonts w:eastAsia="宋体" w:cs="Times New Roman"/>
          <w:sz w:val="28"/>
          <w:szCs w:val="28"/>
        </w:rPr>
      </w:pPr>
    </w:p>
    <w:p>
      <w:pPr>
        <w:adjustRightInd w:val="0"/>
        <w:snapToGrid w:val="0"/>
        <w:rPr>
          <w:rFonts w:eastAsia="宋体" w:cs="Times New Roman"/>
          <w:sz w:val="28"/>
          <w:szCs w:val="28"/>
        </w:rPr>
      </w:pPr>
    </w:p>
    <w:p>
      <w:pPr>
        <w:ind w:firstLine="2400" w:firstLineChars="1000"/>
        <w:rPr>
          <w:rFonts w:eastAsia="宋体" w:cs="Times New Roman"/>
          <w:sz w:val="24"/>
          <w:szCs w:val="24"/>
        </w:rPr>
      </w:pPr>
      <w:r>
        <w:rPr>
          <w:rFonts w:eastAsia="宋体" w:cs="Times New Roman"/>
          <w:sz w:val="24"/>
          <w:szCs w:val="24"/>
        </w:rPr>
        <w:t>表4林下栽培实验设计</w:t>
      </w:r>
    </w:p>
    <w:tbl>
      <w:tblPr>
        <w:tblStyle w:val="6"/>
        <w:tblW w:w="5000" w:type="pct"/>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45"/>
        <w:gridCol w:w="4655"/>
        <w:gridCol w:w="2122"/>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tcBorders>
              <w:top w:val="single" w:color="auto" w:sz="8" w:space="0"/>
              <w:bottom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郁闭度/等级</w:t>
            </w:r>
          </w:p>
        </w:tc>
        <w:tc>
          <w:tcPr>
            <w:tcW w:w="2731" w:type="pct"/>
            <w:tcBorders>
              <w:top w:val="single" w:color="auto" w:sz="8" w:space="0"/>
              <w:bottom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施肥</w:t>
            </w:r>
          </w:p>
        </w:tc>
        <w:tc>
          <w:tcPr>
            <w:tcW w:w="1245" w:type="pct"/>
            <w:tcBorders>
              <w:top w:val="single" w:color="auto" w:sz="8" w:space="0"/>
              <w:bottom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株行距/cm</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restart"/>
            <w:tcBorders>
              <w:top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0.2</w:t>
            </w:r>
          </w:p>
        </w:tc>
        <w:tc>
          <w:tcPr>
            <w:tcW w:w="2731" w:type="pct"/>
            <w:vMerge w:val="restart"/>
            <w:tcBorders>
              <w:top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单独施用有机肥1500kg/亩</w:t>
            </w:r>
          </w:p>
        </w:tc>
        <w:tc>
          <w:tcPr>
            <w:tcW w:w="1245" w:type="pct"/>
            <w:tcBorders>
              <w:top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单独施用化肥50kg/亩（N:P:K=15:20:10）</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不施肥</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restart"/>
            <w:vAlign w:val="center"/>
          </w:tcPr>
          <w:p>
            <w:pPr>
              <w:spacing w:line="240" w:lineRule="atLeast"/>
              <w:jc w:val="center"/>
              <w:rPr>
                <w:rFonts w:eastAsia="宋体" w:cs="Times New Roman"/>
                <w:sz w:val="24"/>
                <w:szCs w:val="24"/>
              </w:rPr>
            </w:pPr>
            <w:r>
              <w:rPr>
                <w:rFonts w:eastAsia="宋体" w:cs="Times New Roman"/>
                <w:sz w:val="24"/>
                <w:szCs w:val="24"/>
              </w:rPr>
              <w:t>0.6</w:t>
            </w: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单独施用有机肥1500kg/亩</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单独施用化肥50kg/亩（N:P:K=15:20:10）</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不施肥</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restart"/>
            <w:vAlign w:val="center"/>
          </w:tcPr>
          <w:p>
            <w:pPr>
              <w:spacing w:line="240" w:lineRule="atLeast"/>
              <w:jc w:val="center"/>
              <w:rPr>
                <w:rFonts w:eastAsia="宋体" w:cs="Times New Roman"/>
                <w:sz w:val="24"/>
                <w:szCs w:val="24"/>
              </w:rPr>
            </w:pPr>
            <w:r>
              <w:rPr>
                <w:rFonts w:eastAsia="宋体" w:cs="Times New Roman"/>
                <w:sz w:val="24"/>
                <w:szCs w:val="24"/>
              </w:rPr>
              <w:t>0.8</w:t>
            </w: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单独施用有机肥1500kg/亩</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单独施用化肥50kg/亩（N:P:K=15:20:10）</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60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restart"/>
            <w:vAlign w:val="center"/>
          </w:tcPr>
          <w:p>
            <w:pPr>
              <w:spacing w:line="240" w:lineRule="atLeast"/>
              <w:jc w:val="center"/>
              <w:rPr>
                <w:rFonts w:eastAsia="宋体" w:cs="Times New Roman"/>
                <w:sz w:val="24"/>
                <w:szCs w:val="24"/>
              </w:rPr>
            </w:pPr>
            <w:r>
              <w:rPr>
                <w:rFonts w:eastAsia="宋体" w:cs="Times New Roman"/>
                <w:sz w:val="24"/>
                <w:szCs w:val="24"/>
              </w:rPr>
              <w:t>不施肥</w:t>
            </w: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30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vAlign w:val="center"/>
          </w:tcPr>
          <w:p>
            <w:pPr>
              <w:spacing w:line="240" w:lineRule="atLeast"/>
              <w:jc w:val="center"/>
              <w:rPr>
                <w:rFonts w:eastAsia="宋体" w:cs="Times New Roman"/>
                <w:sz w:val="24"/>
                <w:szCs w:val="24"/>
              </w:rPr>
            </w:pPr>
          </w:p>
        </w:tc>
        <w:tc>
          <w:tcPr>
            <w:tcW w:w="2731" w:type="pct"/>
            <w:vMerge w:val="continue"/>
            <w:vAlign w:val="center"/>
          </w:tcPr>
          <w:p>
            <w:pPr>
              <w:spacing w:line="240" w:lineRule="atLeast"/>
              <w:jc w:val="center"/>
              <w:rPr>
                <w:rFonts w:eastAsia="宋体" w:cs="Times New Roman"/>
                <w:sz w:val="24"/>
                <w:szCs w:val="24"/>
              </w:rPr>
            </w:pPr>
          </w:p>
        </w:tc>
        <w:tc>
          <w:tcPr>
            <w:tcW w:w="1245" w:type="pct"/>
            <w:vAlign w:val="center"/>
          </w:tcPr>
          <w:p>
            <w:pPr>
              <w:spacing w:line="240" w:lineRule="atLeast"/>
              <w:jc w:val="center"/>
              <w:rPr>
                <w:rFonts w:eastAsia="宋体" w:cs="Times New Roman"/>
                <w:sz w:val="24"/>
                <w:szCs w:val="24"/>
              </w:rPr>
            </w:pPr>
            <w:r>
              <w:rPr>
                <w:rFonts w:eastAsia="宋体" w:cs="Times New Roman"/>
                <w:sz w:val="24"/>
                <w:szCs w:val="24"/>
              </w:rPr>
              <w:t>50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024" w:type="pct"/>
            <w:vMerge w:val="continue"/>
            <w:tcBorders>
              <w:bottom w:val="single" w:color="auto" w:sz="8" w:space="0"/>
            </w:tcBorders>
            <w:vAlign w:val="center"/>
          </w:tcPr>
          <w:p>
            <w:pPr>
              <w:spacing w:line="240" w:lineRule="atLeast"/>
              <w:jc w:val="center"/>
              <w:rPr>
                <w:rFonts w:eastAsia="宋体" w:cs="Times New Roman"/>
                <w:sz w:val="24"/>
                <w:szCs w:val="24"/>
              </w:rPr>
            </w:pPr>
          </w:p>
        </w:tc>
        <w:tc>
          <w:tcPr>
            <w:tcW w:w="2731" w:type="pct"/>
            <w:vMerge w:val="continue"/>
            <w:tcBorders>
              <w:bottom w:val="single" w:color="auto" w:sz="8" w:space="0"/>
            </w:tcBorders>
            <w:vAlign w:val="center"/>
          </w:tcPr>
          <w:p>
            <w:pPr>
              <w:spacing w:line="240" w:lineRule="atLeast"/>
              <w:jc w:val="center"/>
              <w:rPr>
                <w:rFonts w:eastAsia="宋体" w:cs="Times New Roman"/>
                <w:sz w:val="24"/>
                <w:szCs w:val="24"/>
              </w:rPr>
            </w:pPr>
          </w:p>
        </w:tc>
        <w:tc>
          <w:tcPr>
            <w:tcW w:w="1245" w:type="pct"/>
            <w:tcBorders>
              <w:bottom w:val="single" w:color="auto" w:sz="8" w:space="0"/>
            </w:tcBorders>
            <w:vAlign w:val="center"/>
          </w:tcPr>
          <w:p>
            <w:pPr>
              <w:spacing w:line="240" w:lineRule="atLeast"/>
              <w:jc w:val="center"/>
              <w:rPr>
                <w:rFonts w:eastAsia="宋体" w:cs="Times New Roman"/>
                <w:sz w:val="24"/>
                <w:szCs w:val="24"/>
              </w:rPr>
            </w:pPr>
            <w:r>
              <w:rPr>
                <w:rFonts w:eastAsia="宋体" w:cs="Times New Roman"/>
                <w:sz w:val="24"/>
                <w:szCs w:val="24"/>
              </w:rPr>
              <w:t>60</w:t>
            </w:r>
          </w:p>
        </w:tc>
      </w:tr>
    </w:tbl>
    <w:p>
      <w:pPr>
        <w:ind w:firstLine="640" w:firstLineChars="200"/>
        <w:rPr>
          <w:rFonts w:eastAsia="仿宋" w:cs="Times New Roman"/>
        </w:rPr>
      </w:pPr>
    </w:p>
    <w:p>
      <w:pPr>
        <w:ind w:firstLine="640" w:firstLineChars="200"/>
        <w:rPr>
          <w:rFonts w:eastAsia="仿宋" w:cs="Times New Roman"/>
        </w:rPr>
      </w:pPr>
      <w:r>
        <w:rPr>
          <w:rFonts w:hint="eastAsia" w:eastAsia="仿宋" w:cs="Times New Roman"/>
        </w:rPr>
        <w:drawing>
          <wp:inline distT="0" distB="0" distL="0" distR="0">
            <wp:extent cx="4478020" cy="3169920"/>
            <wp:effectExtent l="0" t="0" r="0" b="0"/>
            <wp:docPr id="173721713"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3721713" name="图片 2"/>
                    <pic:cNvPicPr>
                      <a:picLocks noChangeAspect="true" noChangeArrowheads="true"/>
                    </pic:cNvPicPr>
                  </pic:nvPicPr>
                  <pic:blipFill>
                    <a:blip r:embed="rId17">
                      <a:extLst>
                        <a:ext uri="{28A0092B-C50C-407E-A947-70E740481C1C}">
                          <a14:useLocalDpi xmlns:a14="http://schemas.microsoft.com/office/drawing/2010/main" val="false"/>
                        </a:ext>
                      </a:extLst>
                    </a:blip>
                    <a:srcRect/>
                    <a:stretch>
                      <a:fillRect/>
                    </a:stretch>
                  </pic:blipFill>
                  <pic:spPr>
                    <a:xfrm>
                      <a:off x="0" y="0"/>
                      <a:ext cx="4497283" cy="3183726"/>
                    </a:xfrm>
                    <a:prstGeom prst="rect">
                      <a:avLst/>
                    </a:prstGeom>
                    <a:noFill/>
                    <a:ln>
                      <a:noFill/>
                    </a:ln>
                  </pic:spPr>
                </pic:pic>
              </a:graphicData>
            </a:graphic>
          </wp:inline>
        </w:drawing>
      </w:r>
    </w:p>
    <w:p>
      <w:pPr>
        <w:ind w:firstLine="1680" w:firstLineChars="700"/>
        <w:rPr>
          <w:rFonts w:eastAsia="宋体" w:cs="Times New Roman"/>
          <w:sz w:val="24"/>
          <w:szCs w:val="24"/>
        </w:rPr>
      </w:pPr>
      <w:r>
        <w:rPr>
          <w:rFonts w:eastAsia="宋体" w:cs="Times New Roman"/>
          <w:sz w:val="24"/>
          <w:szCs w:val="24"/>
        </w:rPr>
        <w:t>图</w:t>
      </w:r>
      <w:r>
        <w:rPr>
          <w:rFonts w:hint="eastAsia" w:eastAsia="宋体" w:cs="Times New Roman"/>
          <w:sz w:val="24"/>
          <w:szCs w:val="24"/>
        </w:rPr>
        <w:t>9</w:t>
      </w:r>
      <w:r>
        <w:rPr>
          <w:rFonts w:eastAsia="宋体" w:cs="Times New Roman"/>
          <w:sz w:val="24"/>
          <w:szCs w:val="24"/>
        </w:rPr>
        <w:t xml:space="preserve"> 林下栽培淫羊藿次生代谢物含量</w:t>
      </w:r>
    </w:p>
    <w:p>
      <w:pPr>
        <w:rPr>
          <w:rFonts w:eastAsia="仿宋" w:cs="Times New Roman"/>
          <w:sz w:val="24"/>
          <w:szCs w:val="24"/>
        </w:rPr>
      </w:pPr>
      <w:r>
        <w:rPr>
          <w:rFonts w:eastAsia="宋体" w:cs="Times New Roman"/>
          <w:sz w:val="24"/>
          <w:szCs w:val="24"/>
        </w:rPr>
        <w:t>注：A、B、C为郁闭度0.2级，DEF为郁闭度0.6级，G、H、I为郁闭度0.8级；A、D、G为单独施用有机肥1500kg/亩，B、E、H为单独施用化肥50kg/亩（N:P:K=15:20:10），C、F、I为不施肥。</w:t>
      </w:r>
    </w:p>
    <w:p>
      <w:pPr>
        <w:spacing w:line="360" w:lineRule="auto"/>
        <w:ind w:firstLine="481" w:firstLineChars="200"/>
        <w:rPr>
          <w:rFonts w:eastAsia="宋体" w:cs="Times New Roman"/>
          <w:b/>
          <w:sz w:val="24"/>
          <w:szCs w:val="24"/>
        </w:rPr>
      </w:pPr>
      <w:r>
        <w:rPr>
          <w:rFonts w:eastAsia="宋体" w:cs="Times New Roman"/>
          <w:b/>
          <w:sz w:val="24"/>
          <w:szCs w:val="24"/>
        </w:rPr>
        <w:t>6.</w:t>
      </w:r>
      <w:r>
        <w:rPr>
          <w:rFonts w:hint="eastAsia" w:eastAsia="宋体" w:cs="Times New Roman"/>
          <w:b/>
          <w:sz w:val="24"/>
          <w:szCs w:val="24"/>
        </w:rPr>
        <w:t>淫羊藿需肥研究</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设置3个郁闭度：0.2、0.6、0.8；3种施肥情况：单独施用有机肥1500 kg/亩、单独施用化肥</w:t>
      </w:r>
      <w:r>
        <w:rPr>
          <w:rFonts w:hint="eastAsia" w:eastAsia="宋体" w:cs="Times New Roman"/>
          <w:sz w:val="24"/>
          <w:szCs w:val="24"/>
        </w:rPr>
        <w:t>5</w:t>
      </w:r>
      <w:r>
        <w:rPr>
          <w:rFonts w:eastAsia="宋体" w:cs="Times New Roman"/>
          <w:sz w:val="24"/>
          <w:szCs w:val="24"/>
        </w:rPr>
        <w:t>0kg/亩（N:P:K=15:20:10）、不施肥；5个株行距：20、30、40、50、60 cm，改变郁闭度、施肥情况和株行距，进行淫羊藿的林下栽培实验。结果表明，在郁闭度为0.6，株距为40 cm，单独施用有机肥1500kg/亩的情况下，淫羊藿的次生代谢物含量显著高于其它情况。</w:t>
      </w:r>
      <w:r>
        <w:rPr>
          <w:rFonts w:hint="eastAsia" w:eastAsia="宋体" w:cs="Times New Roman"/>
          <w:sz w:val="24"/>
          <w:szCs w:val="24"/>
        </w:rPr>
        <w:t>根据生产实践及详细调研的结果，将有机肥与化肥配合施用对于淫羊藿的长势及次生代谢物的积累具有更好的促进作用。</w:t>
      </w:r>
    </w:p>
    <w:p>
      <w:pPr>
        <w:spacing w:line="360" w:lineRule="auto"/>
        <w:ind w:firstLine="481" w:firstLineChars="200"/>
        <w:rPr>
          <w:rFonts w:eastAsia="宋体" w:cs="Times New Roman"/>
          <w:b/>
          <w:sz w:val="24"/>
          <w:szCs w:val="24"/>
        </w:rPr>
      </w:pPr>
      <w:r>
        <w:rPr>
          <w:rFonts w:eastAsia="宋体" w:cs="Times New Roman"/>
          <w:b/>
          <w:sz w:val="24"/>
          <w:szCs w:val="24"/>
        </w:rPr>
        <w:t>7.</w:t>
      </w:r>
      <w:r>
        <w:rPr>
          <w:rFonts w:hint="eastAsia" w:eastAsia="宋体" w:cs="Times New Roman"/>
          <w:b/>
          <w:sz w:val="24"/>
          <w:szCs w:val="24"/>
        </w:rPr>
        <w:t>淫羊藿最佳收获期分析</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中国药典》规定淫羊藿的采收期在在夏、秋季茎叶茂盛时，即6~10月。为确定淫羊藿最佳采收期，有研究选取3月至次年1月共11个不同月份的淫羊藿，每隔15天进行采样，对淫羊藿中黄酮醇苷类成分动态累积进行测定，综合淫羊藿多苷积累总量和主成分分析结果，表明</w:t>
      </w:r>
      <w:r>
        <w:rPr>
          <w:rFonts w:hint="eastAsia" w:eastAsia="宋体" w:cs="Times New Roman"/>
          <w:sz w:val="24"/>
          <w:szCs w:val="24"/>
        </w:rPr>
        <w:t>9</w:t>
      </w:r>
      <w:r>
        <w:rPr>
          <w:rFonts w:eastAsia="宋体" w:cs="Times New Roman"/>
          <w:sz w:val="24"/>
          <w:szCs w:val="24"/>
        </w:rPr>
        <w:t>~</w:t>
      </w:r>
      <w:r>
        <w:rPr>
          <w:rFonts w:hint="eastAsia" w:eastAsia="宋体" w:cs="Times New Roman"/>
          <w:sz w:val="24"/>
          <w:szCs w:val="24"/>
        </w:rPr>
        <w:t>10</w:t>
      </w:r>
      <w:r>
        <w:rPr>
          <w:rFonts w:eastAsia="宋体" w:cs="Times New Roman"/>
          <w:sz w:val="24"/>
          <w:szCs w:val="24"/>
        </w:rPr>
        <w:t>月中旬为淫羊藿最佳采收期。</w:t>
      </w:r>
    </w:p>
    <w:p>
      <w:pPr>
        <w:adjustRightInd w:val="0"/>
        <w:spacing w:line="360" w:lineRule="auto"/>
        <w:ind w:firstLine="481" w:firstLineChars="200"/>
        <w:rPr>
          <w:rFonts w:eastAsia="宋体" w:cs="Times New Roman"/>
          <w:b/>
          <w:sz w:val="24"/>
          <w:szCs w:val="24"/>
        </w:rPr>
      </w:pPr>
      <w:r>
        <w:rPr>
          <w:rFonts w:eastAsia="宋体" w:cs="Times New Roman"/>
          <w:b/>
          <w:sz w:val="24"/>
          <w:szCs w:val="24"/>
        </w:rPr>
        <w:t>8.</w:t>
      </w:r>
      <w:r>
        <w:rPr>
          <w:rFonts w:hint="eastAsia" w:eastAsia="宋体" w:cs="Times New Roman"/>
          <w:b/>
          <w:sz w:val="24"/>
          <w:szCs w:val="24"/>
        </w:rPr>
        <w:t>淫羊藿种子最佳成熟期分析</w:t>
      </w:r>
    </w:p>
    <w:p>
      <w:pPr>
        <w:adjustRightInd w:val="0"/>
        <w:snapToGrid w:val="0"/>
        <w:spacing w:line="360" w:lineRule="auto"/>
        <w:ind w:firstLine="480" w:firstLineChars="200"/>
        <w:rPr>
          <w:rFonts w:eastAsia="宋体" w:cs="Times New Roman"/>
          <w:sz w:val="24"/>
          <w:szCs w:val="24"/>
        </w:rPr>
      </w:pPr>
      <w:r>
        <w:rPr>
          <w:rFonts w:eastAsia="宋体" w:cs="Times New Roman"/>
          <w:sz w:val="24"/>
          <w:szCs w:val="24"/>
        </w:rPr>
        <w:t>一般来说，当淫羊藿骨突果由绿变黄并出现少量背裂时，种子大部分成熟，应立即采收。如采收过迟，种子会随着果皮开裂而弹出，散落损失；若采收过早，种子尚未成熟，发芽率低。由于淫羊藿是无限花序，果序上不同种子成熟度差别较大，采收时应去掉果序顶端未成熟部分，之后置于室内阴凉干燥处2～3天，待果实干燥裂开后脱粒因此，选择</w:t>
      </w:r>
      <w:r>
        <w:rPr>
          <w:rFonts w:hint="eastAsia" w:eastAsia="宋体" w:cs="Times New Roman"/>
          <w:sz w:val="24"/>
          <w:szCs w:val="24"/>
        </w:rPr>
        <w:t>5</w:t>
      </w:r>
      <w:r>
        <w:rPr>
          <w:rFonts w:eastAsia="宋体" w:cs="Times New Roman"/>
          <w:sz w:val="24"/>
          <w:szCs w:val="24"/>
        </w:rPr>
        <w:t>月</w:t>
      </w:r>
      <w:r>
        <w:rPr>
          <w:rFonts w:hint="eastAsia" w:eastAsia="宋体" w:cs="Times New Roman"/>
          <w:sz w:val="24"/>
          <w:szCs w:val="24"/>
        </w:rPr>
        <w:t>下</w:t>
      </w:r>
      <w:r>
        <w:rPr>
          <w:rFonts w:eastAsia="宋体" w:cs="Times New Roman"/>
          <w:sz w:val="24"/>
          <w:szCs w:val="24"/>
        </w:rPr>
        <w:t>旬至</w:t>
      </w:r>
      <w:r>
        <w:rPr>
          <w:rFonts w:hint="eastAsia" w:eastAsia="宋体" w:cs="Times New Roman"/>
          <w:sz w:val="24"/>
          <w:szCs w:val="24"/>
        </w:rPr>
        <w:t>6</w:t>
      </w:r>
      <w:r>
        <w:rPr>
          <w:rFonts w:eastAsia="宋体" w:cs="Times New Roman"/>
          <w:sz w:val="24"/>
          <w:szCs w:val="24"/>
        </w:rPr>
        <w:t>月中旬种子陆续成熟时开始采收。</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四、采用国际标准和国外先进标准的程度，以及与国际、国外同类标准水平的对比情况，或与测试的国外样品、样机的有关数据对比情况</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淫羊藿是我国自古使用的传统药材，淫羊藿属植物除了在中国有分布外，地中海和西亚地区分布约4种，日本分布约5种，俄罗斯远东地区和印巴交界的克什米尔地区各分布1种。目前，我国淫羊藿规模化种植的省份也达到了十多个，其中规模化种植较早的省份，先后制定了淫羊藿生产、育苗、贮运等技术标准，但是由于我省淫羊藿适栽品种、气候、土壤等现实条件均与这些省份有较大区别，栽培技术也有许多不同之处，因此不能直接照搬或是直接应用这些外省的相关技术与标准。</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 xml:space="preserve">目前，不存在淫羊藿的国际标准和国外先进标准的相关内容。此外，还没有制订出巫山淫羊藿林下栽培技术的国家标准，本标准结合我省巫山淫羊藿林下种植的实际情况，在总结和归纳我省不同淫羊藿栽植过程中的各项技术要点基础上，充分参考国内有关淫羊藿栽培的最新标准和技术而制定，“巫山淫羊藿林下栽培技术规程”地方标准在我省是首次提出。 </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五、知识产权说明：标准涉及的相关知识产权说明</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本标准知识产权归研制单位所有，没有知识产权争议。</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六、与有关的现行法律、法规和强制性国家标准的关系</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本标准符合国家现行法律、法规和强制性国家标准的要求。</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七、重大分歧意见的处理经过和依据</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无重大分歧意见。</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八、国家标准作为强制性国家标准或推荐性国家标准的建议</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本标准根据陕西省巫山淫羊藿生产现状并结合国内淫羊藿种植生产主流技术制定，建议将本标准作为推荐性地方标准批准发布，用于指导和规范巫山淫羊藿的林下生产和管理工作。</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九、贯彻国家标准的要求和措施建议（包括组织措施、技术措施、过渡办法等内容）</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首先应在实施前通过林业主管部门与相关企、事业单位大力宣传，让生产者及时了解掌握具体内容，这是保证新标准贯彻实施的基础。</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建议本标准作为推荐性标准尽快实施发布。</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十、废止现行标准的建议</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本标准为首次制订。</w:t>
      </w:r>
    </w:p>
    <w:p>
      <w:pPr>
        <w:adjustRightInd w:val="0"/>
        <w:snapToGrid w:val="0"/>
        <w:spacing w:line="360" w:lineRule="auto"/>
        <w:ind w:firstLine="481" w:firstLineChars="200"/>
        <w:rPr>
          <w:rFonts w:eastAsia="宋体" w:cs="Times New Roman"/>
          <w:b/>
          <w:sz w:val="24"/>
          <w:szCs w:val="24"/>
        </w:rPr>
      </w:pPr>
      <w:r>
        <w:rPr>
          <w:rFonts w:hint="eastAsia" w:eastAsia="宋体" w:cs="Times New Roman"/>
          <w:b/>
          <w:sz w:val="24"/>
          <w:szCs w:val="24"/>
        </w:rPr>
        <w:t>十一、其他应予说明的事项</w:t>
      </w:r>
    </w:p>
    <w:p>
      <w:pPr>
        <w:adjustRightInd w:val="0"/>
        <w:snapToGrid w:val="0"/>
        <w:spacing w:line="360" w:lineRule="auto"/>
        <w:ind w:firstLine="480" w:firstLineChars="200"/>
        <w:rPr>
          <w:rFonts w:eastAsia="宋体" w:cs="Times New Roman"/>
          <w:sz w:val="24"/>
          <w:szCs w:val="24"/>
        </w:rPr>
      </w:pPr>
      <w:r>
        <w:rPr>
          <w:rFonts w:hint="eastAsia" w:eastAsia="宋体" w:cs="Times New Roman"/>
          <w:sz w:val="24"/>
          <w:szCs w:val="24"/>
        </w:rPr>
        <w:t xml:space="preserve">无。    </w:t>
      </w:r>
    </w:p>
    <w:p>
      <w:pPr>
        <w:adjustRightInd w:val="0"/>
        <w:snapToGrid w:val="0"/>
        <w:spacing w:line="360" w:lineRule="auto"/>
        <w:ind w:firstLine="480" w:firstLineChars="200"/>
        <w:rPr>
          <w:rFonts w:eastAsia="宋体" w:cs="Times New Roman"/>
          <w:sz w:val="24"/>
          <w:szCs w:val="24"/>
        </w:rPr>
      </w:pPr>
    </w:p>
    <w:p>
      <w:pPr>
        <w:adjustRightInd w:val="0"/>
        <w:snapToGrid w:val="0"/>
        <w:spacing w:line="360" w:lineRule="auto"/>
        <w:ind w:firstLine="560" w:firstLineChars="200"/>
        <w:rPr>
          <w:rFonts w:eastAsia="宋体" w:cs="Times New Roman"/>
          <w:sz w:val="28"/>
          <w:szCs w:val="28"/>
        </w:rPr>
      </w:pPr>
    </w:p>
    <w:sectPr>
      <w:footerReference r:id="rId3"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Nimbus Roman No9 L"/>
    <w:panose1 w:val="02020603050405020304"/>
    <w:charset w:val="01"/>
    <w:family w:val="auto"/>
    <w:pitch w:val="default"/>
    <w:sig w:usb0="00000000" w:usb1="00000000" w:usb2="00000009" w:usb3="00000000" w:csb0="400001FF" w:csb1="FFFF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altName w:val="方正仿宋_GBK"/>
    <w:panose1 w:val="02010609030101010101"/>
    <w:charset w:val="00"/>
    <w:family w:val="modern"/>
    <w:pitch w:val="default"/>
    <w:sig w:usb0="00000000" w:usb1="00000000" w:usb2="00000000" w:usb3="00000000" w:csb0="00040000" w:csb1="00000000"/>
  </w:font>
  <w:font w:name="方正小标宋_GBK">
    <w:panose1 w:val="02000000000000000000"/>
    <w:charset w:val="86"/>
    <w:family w:val="auto"/>
    <w:pitch w:val="default"/>
    <w:sig w:usb0="00000001" w:usb1="0800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仿宋">
    <w:altName w:val="方正仿宋_GBK"/>
    <w:panose1 w:val="02010609060101010101"/>
    <w:charset w:val="86"/>
    <w:family w:val="modern"/>
    <w:pitch w:val="default"/>
    <w:sig w:usb0="00000000" w:usb1="00000000" w:usb2="00000016" w:usb3="00000000" w:csb0="00040001" w:csb1="00000000"/>
  </w:font>
  <w:font w:name="方正书宋_GBK">
    <w:panose1 w:val="02000000000000000000"/>
    <w:charset w:val="86"/>
    <w:family w:val="auto"/>
    <w:pitch w:val="default"/>
    <w:sig w:usb0="00000001" w:usb1="08000000" w:usb2="00000000" w:usb3="00000000" w:csb0="00040000" w:csb1="00000000"/>
  </w:font>
  <w:font w:name="Nimbus Roman No9 L">
    <w:panose1 w:val="00000000000000000000"/>
    <w:charset w:val="00"/>
    <w:family w:val="auto"/>
    <w:pitch w:val="default"/>
    <w:sig w:usb0="00000000" w:usb1="00000000" w:usb2="00000000" w:usb3="00000000" w:csb0="00000000" w:csb1="00000000"/>
  </w:font>
  <w:font w:name="方正仿宋_GBK">
    <w:panose1 w:val="02000000000000000000"/>
    <w:charset w:val="86"/>
    <w:family w:val="auto"/>
    <w:pitch w:val="default"/>
    <w:sig w:usb0="00000001" w:usb1="08000000" w:usb2="00000000" w:usb3="00000000" w:csb0="00040000" w:csb1="00000000"/>
  </w:font>
  <w:font w:name="方正宋体S-超大字符集">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CzSVju0AAAAAUBAAAPAAAAAAAAAAEAIAAAADgAAABkcnMvZG93bnJldi54bWxQSwECFAAU&#10;AAAACACHTuJAK8tgzBwCAAApBAAADgAAAAAAAAABACAAAAA1AQAAZHJzL2Uyb0RvYy54bWxQSwUG&#10;AAAAAAYABgBZAQAAwwU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3</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27C6"/>
    <w:rsid w:val="00001C68"/>
    <w:rsid w:val="0001318E"/>
    <w:rsid w:val="00017443"/>
    <w:rsid w:val="000204D6"/>
    <w:rsid w:val="00026E5A"/>
    <w:rsid w:val="00034157"/>
    <w:rsid w:val="000651F7"/>
    <w:rsid w:val="00070BC9"/>
    <w:rsid w:val="00094B92"/>
    <w:rsid w:val="000A652F"/>
    <w:rsid w:val="000B37F8"/>
    <w:rsid w:val="000B413C"/>
    <w:rsid w:val="000B6259"/>
    <w:rsid w:val="000D6BCB"/>
    <w:rsid w:val="000F406B"/>
    <w:rsid w:val="00124D83"/>
    <w:rsid w:val="00135789"/>
    <w:rsid w:val="001652E1"/>
    <w:rsid w:val="001B0540"/>
    <w:rsid w:val="001B2704"/>
    <w:rsid w:val="001B449E"/>
    <w:rsid w:val="0020723D"/>
    <w:rsid w:val="00215FFE"/>
    <w:rsid w:val="00221082"/>
    <w:rsid w:val="00225F11"/>
    <w:rsid w:val="00244EDF"/>
    <w:rsid w:val="00253041"/>
    <w:rsid w:val="00275A2E"/>
    <w:rsid w:val="00276E58"/>
    <w:rsid w:val="002821F6"/>
    <w:rsid w:val="002B3DB3"/>
    <w:rsid w:val="002C7C2B"/>
    <w:rsid w:val="00303880"/>
    <w:rsid w:val="00326AA0"/>
    <w:rsid w:val="0033196D"/>
    <w:rsid w:val="00353587"/>
    <w:rsid w:val="003750A9"/>
    <w:rsid w:val="0038392D"/>
    <w:rsid w:val="003B5261"/>
    <w:rsid w:val="003C1CB0"/>
    <w:rsid w:val="003D746E"/>
    <w:rsid w:val="00430890"/>
    <w:rsid w:val="00462971"/>
    <w:rsid w:val="00495788"/>
    <w:rsid w:val="004A253D"/>
    <w:rsid w:val="004B63F0"/>
    <w:rsid w:val="004D6D30"/>
    <w:rsid w:val="004F748B"/>
    <w:rsid w:val="00532E4A"/>
    <w:rsid w:val="0056157B"/>
    <w:rsid w:val="0058170D"/>
    <w:rsid w:val="005F1AC0"/>
    <w:rsid w:val="00613117"/>
    <w:rsid w:val="00624AE5"/>
    <w:rsid w:val="0066142A"/>
    <w:rsid w:val="00662A51"/>
    <w:rsid w:val="0068221C"/>
    <w:rsid w:val="00696A08"/>
    <w:rsid w:val="006B5351"/>
    <w:rsid w:val="006B5EF4"/>
    <w:rsid w:val="006C3C52"/>
    <w:rsid w:val="006C479D"/>
    <w:rsid w:val="006F4F5A"/>
    <w:rsid w:val="007031E3"/>
    <w:rsid w:val="00712F26"/>
    <w:rsid w:val="00721648"/>
    <w:rsid w:val="00737447"/>
    <w:rsid w:val="00741FF6"/>
    <w:rsid w:val="00747F42"/>
    <w:rsid w:val="007806F5"/>
    <w:rsid w:val="007921F3"/>
    <w:rsid w:val="007D182B"/>
    <w:rsid w:val="007F1E5D"/>
    <w:rsid w:val="007F6A00"/>
    <w:rsid w:val="00821585"/>
    <w:rsid w:val="008348BD"/>
    <w:rsid w:val="00854239"/>
    <w:rsid w:val="008602B6"/>
    <w:rsid w:val="0086615F"/>
    <w:rsid w:val="00881E44"/>
    <w:rsid w:val="0089017F"/>
    <w:rsid w:val="008A3DD0"/>
    <w:rsid w:val="008D38ED"/>
    <w:rsid w:val="008F4908"/>
    <w:rsid w:val="009027C6"/>
    <w:rsid w:val="00914399"/>
    <w:rsid w:val="009277AC"/>
    <w:rsid w:val="0095012F"/>
    <w:rsid w:val="00954EC3"/>
    <w:rsid w:val="009566C7"/>
    <w:rsid w:val="00966BC4"/>
    <w:rsid w:val="00970FE6"/>
    <w:rsid w:val="0098020D"/>
    <w:rsid w:val="00996D19"/>
    <w:rsid w:val="009C1886"/>
    <w:rsid w:val="009C54DE"/>
    <w:rsid w:val="009E67A3"/>
    <w:rsid w:val="009F2878"/>
    <w:rsid w:val="00A06A57"/>
    <w:rsid w:val="00A0793A"/>
    <w:rsid w:val="00A24224"/>
    <w:rsid w:val="00A2620F"/>
    <w:rsid w:val="00A27209"/>
    <w:rsid w:val="00A369AF"/>
    <w:rsid w:val="00A56BCF"/>
    <w:rsid w:val="00AF3FA8"/>
    <w:rsid w:val="00B02669"/>
    <w:rsid w:val="00B110E4"/>
    <w:rsid w:val="00B159D4"/>
    <w:rsid w:val="00B16BDD"/>
    <w:rsid w:val="00B23F86"/>
    <w:rsid w:val="00B25020"/>
    <w:rsid w:val="00B662A1"/>
    <w:rsid w:val="00B816E3"/>
    <w:rsid w:val="00B92DFB"/>
    <w:rsid w:val="00BB2062"/>
    <w:rsid w:val="00BB3BF4"/>
    <w:rsid w:val="00BB6779"/>
    <w:rsid w:val="00BC3702"/>
    <w:rsid w:val="00BC617B"/>
    <w:rsid w:val="00C04098"/>
    <w:rsid w:val="00C2149B"/>
    <w:rsid w:val="00C6470D"/>
    <w:rsid w:val="00C71B49"/>
    <w:rsid w:val="00CA2D9C"/>
    <w:rsid w:val="00CD2FA0"/>
    <w:rsid w:val="00CF7397"/>
    <w:rsid w:val="00D30DDA"/>
    <w:rsid w:val="00D81C44"/>
    <w:rsid w:val="00D939AF"/>
    <w:rsid w:val="00DF223F"/>
    <w:rsid w:val="00E06999"/>
    <w:rsid w:val="00E230E1"/>
    <w:rsid w:val="00E51678"/>
    <w:rsid w:val="00E65A18"/>
    <w:rsid w:val="00E67D5D"/>
    <w:rsid w:val="00E95B14"/>
    <w:rsid w:val="00EA6850"/>
    <w:rsid w:val="00EB5927"/>
    <w:rsid w:val="00ED24E4"/>
    <w:rsid w:val="00ED72DD"/>
    <w:rsid w:val="00EE05FD"/>
    <w:rsid w:val="00EE0DED"/>
    <w:rsid w:val="00EF408B"/>
    <w:rsid w:val="00F11AC9"/>
    <w:rsid w:val="00F11BE4"/>
    <w:rsid w:val="00F20115"/>
    <w:rsid w:val="00F44F0D"/>
    <w:rsid w:val="00F52B96"/>
    <w:rsid w:val="00F8238A"/>
    <w:rsid w:val="00F9038C"/>
    <w:rsid w:val="00FA4EEB"/>
    <w:rsid w:val="00FD0F5A"/>
    <w:rsid w:val="00FE3185"/>
    <w:rsid w:val="07401FEA"/>
    <w:rsid w:val="476718B6"/>
    <w:rsid w:val="77DEB2C6"/>
    <w:rsid w:val="7DFD9286"/>
    <w:rsid w:val="DFF7AF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仿宋_GB2312"/>
      <w:kern w:val="2"/>
      <w:sz w:val="32"/>
      <w:szCs w:val="32"/>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Normal Indent"/>
    <w:basedOn w:val="1"/>
    <w:semiHidden/>
    <w:unhideWhenUsed/>
    <w:qFormat/>
    <w:uiPriority w:val="99"/>
    <w:pPr>
      <w:ind w:firstLine="420" w:firstLineChars="200"/>
    </w:p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字符"/>
    <w:basedOn w:val="7"/>
    <w:link w:val="4"/>
    <w:qFormat/>
    <w:uiPriority w:val="99"/>
    <w:rPr>
      <w:sz w:val="18"/>
      <w:szCs w:val="18"/>
    </w:rPr>
  </w:style>
  <w:style w:type="character" w:customStyle="1" w:styleId="9">
    <w:name w:val="页脚 字符"/>
    <w:basedOn w:val="7"/>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0.png"/><Relationship Id="rId16" Type="http://schemas.openxmlformats.org/officeDocument/2006/relationships/image" Target="media/image9.jpeg"/><Relationship Id="rId15" Type="http://schemas.openxmlformats.org/officeDocument/2006/relationships/image" Target="media/image3.tiff"/><Relationship Id="rId14" Type="http://schemas.openxmlformats.org/officeDocument/2006/relationships/image" Target="media/image2.tiff"/><Relationship Id="rId13" Type="http://schemas.openxmlformats.org/officeDocument/2006/relationships/image" Target="media/image1.tiff"/><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7553</Words>
  <Characters>8428</Characters>
  <Lines>80</Lines>
  <Paragraphs>22</Paragraphs>
  <TotalTime>2</TotalTime>
  <ScaleCrop>false</ScaleCrop>
  <LinksUpToDate>false</LinksUpToDate>
  <CharactersWithSpaces>8577</CharactersWithSpaces>
  <Application>WPS Office_11.8.2.10422_F1E327BC-269C-435d-A152-05C5408002CA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2024-11-18T03:42:00Z</dcterms:created>
  <dc:creator>WN</dc:creator>
  <cp:lastModifiedBy>guest</cp:lastModifiedBy>
  <dcterms:modified xsi:type="dcterms:W3CDTF">2025-01-16T17:24:07Z</dcterms:modified>
  <cp:revision>136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2052-11.8.2.10422</vt:lpwstr>
  </property>
  <property fmtid="{D5CDD505-2E9C-101B-9397-08002B2CF9AE}" pid="3" name="ICV">
    <vt:lpwstr>2504C0F26F72452AB4572233CDA1879B_13</vt:lpwstr>
  </property>
  <property fmtid="{D5CDD505-2E9C-101B-9397-08002B2CF9AE}" pid="4" name="KSOTemplateDocerSaveRecord">
    <vt:lpwstr>eyJoZGlkIjoiMDZkOTE0ZmU1YjUxNGU4YzMzMWU0ODE4YTY4MjFkYmUifQ==</vt:lpwstr>
  </property>
</Properties>
</file>