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67C0BE">
      <w:pPr>
        <w:jc w:val="center"/>
        <w:rPr>
          <w:rFonts w:hint="eastAsia" w:asciiTheme="majorEastAsia" w:hAnsiTheme="majorEastAsia" w:eastAsiaTheme="majorEastAsia"/>
          <w:b/>
          <w:sz w:val="30"/>
          <w:szCs w:val="30"/>
          <w:lang w:eastAsia="zh-CN"/>
        </w:rPr>
      </w:pPr>
      <w:bookmarkStart w:id="0" w:name="_GoBack"/>
      <w:bookmarkEnd w:id="0"/>
      <w:r>
        <w:rPr>
          <w:rFonts w:hint="eastAsia" w:asciiTheme="majorEastAsia" w:hAnsiTheme="majorEastAsia" w:eastAsiaTheme="majorEastAsia"/>
          <w:b/>
          <w:sz w:val="30"/>
          <w:szCs w:val="30"/>
          <w:lang w:val="en-US" w:eastAsia="zh-CN"/>
        </w:rPr>
        <w:t>陕西省</w:t>
      </w:r>
      <w:r>
        <w:rPr>
          <w:rFonts w:hint="eastAsia" w:asciiTheme="majorEastAsia" w:hAnsiTheme="majorEastAsia" w:eastAsiaTheme="majorEastAsia"/>
          <w:b/>
          <w:sz w:val="30"/>
          <w:szCs w:val="30"/>
          <w:lang w:eastAsia="zh-CN"/>
        </w:rPr>
        <w:t>地方标准</w:t>
      </w:r>
    </w:p>
    <w:p w14:paraId="06BFD9E6">
      <w:pPr>
        <w:jc w:val="center"/>
        <w:outlineLvl w:val="0"/>
        <w:rPr>
          <w:rFonts w:hint="eastAsia" w:asciiTheme="majorEastAsia" w:hAnsiTheme="majorEastAsia" w:eastAsiaTheme="majorEastAsia"/>
          <w:b/>
          <w:sz w:val="30"/>
          <w:szCs w:val="30"/>
        </w:rPr>
      </w:pPr>
      <w:r>
        <w:rPr>
          <w:rFonts w:hint="eastAsia" w:asciiTheme="majorEastAsia" w:hAnsiTheme="majorEastAsia" w:eastAsiaTheme="majorEastAsia"/>
          <w:b/>
          <w:sz w:val="30"/>
          <w:szCs w:val="30"/>
        </w:rPr>
        <w:t>《政务服务“办不成事”反映窗口服务规范》编制说明</w:t>
      </w:r>
    </w:p>
    <w:p w14:paraId="28F96D45">
      <w:pPr>
        <w:outlineLvl w:val="0"/>
        <w:rPr>
          <w:rFonts w:hint="eastAsia" w:ascii="宋体" w:hAnsi="宋体" w:eastAsia="宋体" w:cs="宋体"/>
          <w:sz w:val="28"/>
          <w:szCs w:val="28"/>
        </w:rPr>
      </w:pPr>
      <w:r>
        <w:rPr>
          <w:rFonts w:hint="eastAsia" w:ascii="宋体" w:hAnsi="宋体" w:eastAsia="宋体" w:cs="宋体"/>
          <w:sz w:val="28"/>
          <w:szCs w:val="28"/>
        </w:rPr>
        <w:t>一、工作简况</w:t>
      </w:r>
    </w:p>
    <w:p w14:paraId="01EE6F2E">
      <w:pPr>
        <w:outlineLvl w:val="1"/>
        <w:rPr>
          <w:rFonts w:hint="eastAsia" w:ascii="宋体" w:hAnsi="宋体" w:eastAsia="宋体" w:cs="宋体"/>
          <w:sz w:val="28"/>
          <w:szCs w:val="28"/>
        </w:rPr>
      </w:pPr>
      <w:r>
        <w:rPr>
          <w:rFonts w:hint="eastAsia" w:ascii="宋体" w:hAnsi="宋体" w:eastAsia="宋体" w:cs="宋体"/>
          <w:sz w:val="28"/>
          <w:szCs w:val="28"/>
        </w:rPr>
        <w:t>（一）任务来源</w:t>
      </w:r>
    </w:p>
    <w:p w14:paraId="6F0CD39B">
      <w:pPr>
        <w:ind w:firstLine="560" w:firstLineChars="200"/>
        <w:rPr>
          <w:rFonts w:hint="eastAsia" w:ascii="宋体" w:hAnsi="宋体" w:eastAsia="宋体" w:cs="宋体"/>
          <w:sz w:val="28"/>
          <w:szCs w:val="28"/>
        </w:rPr>
      </w:pPr>
      <w:r>
        <w:rPr>
          <w:rFonts w:hint="eastAsia" w:ascii="宋体" w:hAnsi="宋体" w:eastAsia="宋体" w:cs="宋体"/>
          <w:sz w:val="28"/>
          <w:szCs w:val="28"/>
        </w:rPr>
        <w:t>本任务来源于陕西省市场监督管理局 《关于印发《2024年省级地方标准申报指南》的通知（陕市监发〔2024〕39号），2024年第三批省级地方标准申报项目</w:t>
      </w:r>
      <w:r>
        <w:rPr>
          <w:rFonts w:hint="eastAsia" w:ascii="宋体" w:hAnsi="宋体" w:eastAsia="宋体" w:cs="宋体"/>
          <w:sz w:val="28"/>
          <w:szCs w:val="28"/>
          <w:lang w:val="en-US" w:eastAsia="zh-CN"/>
        </w:rPr>
        <w:t>中的第一个项目</w:t>
      </w:r>
      <w:r>
        <w:rPr>
          <w:rFonts w:hint="eastAsia" w:ascii="宋体" w:hAnsi="宋体" w:eastAsia="宋体" w:cs="宋体"/>
          <w:sz w:val="28"/>
          <w:szCs w:val="28"/>
        </w:rPr>
        <w:t>，项目名称为《政务服务“办不成事”反映窗口服务规范》。</w:t>
      </w:r>
    </w:p>
    <w:p w14:paraId="6B8AAB4F">
      <w:pPr>
        <w:outlineLvl w:val="1"/>
        <w:rPr>
          <w:rFonts w:hint="eastAsia" w:ascii="宋体" w:hAnsi="宋体" w:eastAsia="宋体" w:cs="宋体"/>
          <w:sz w:val="28"/>
          <w:szCs w:val="28"/>
        </w:rPr>
      </w:pPr>
      <w:r>
        <w:rPr>
          <w:rFonts w:hint="eastAsia" w:ascii="宋体" w:hAnsi="宋体" w:eastAsia="宋体" w:cs="宋体"/>
          <w:sz w:val="28"/>
          <w:szCs w:val="28"/>
        </w:rPr>
        <w:t>（二）起草单位</w:t>
      </w:r>
    </w:p>
    <w:p w14:paraId="60BED61C">
      <w:pPr>
        <w:ind w:firstLine="560" w:firstLineChars="200"/>
        <w:outlineLvl w:val="2"/>
        <w:rPr>
          <w:rFonts w:hint="eastAsia" w:ascii="宋体" w:hAnsi="宋体" w:eastAsia="宋体" w:cs="宋体"/>
          <w:sz w:val="28"/>
          <w:szCs w:val="28"/>
        </w:rPr>
      </w:pPr>
      <w:r>
        <w:rPr>
          <w:rFonts w:hint="eastAsia" w:ascii="宋体" w:hAnsi="宋体" w:eastAsia="宋体" w:cs="宋体"/>
          <w:sz w:val="28"/>
          <w:szCs w:val="28"/>
        </w:rPr>
        <w:t>延安市行政审批服务局</w:t>
      </w:r>
    </w:p>
    <w:p w14:paraId="410F238F">
      <w:pPr>
        <w:outlineLvl w:val="1"/>
        <w:rPr>
          <w:rFonts w:hint="eastAsia" w:ascii="宋体" w:hAnsi="宋体" w:eastAsia="宋体" w:cs="宋体"/>
          <w:sz w:val="28"/>
          <w:szCs w:val="28"/>
        </w:rPr>
      </w:pPr>
      <w:r>
        <w:rPr>
          <w:rFonts w:hint="eastAsia" w:ascii="宋体" w:hAnsi="宋体" w:eastAsia="宋体" w:cs="宋体"/>
          <w:sz w:val="28"/>
          <w:szCs w:val="28"/>
        </w:rPr>
        <w:t>（三）参与单位</w:t>
      </w:r>
    </w:p>
    <w:p w14:paraId="3B755913">
      <w:pPr>
        <w:ind w:firstLine="560" w:firstLineChars="200"/>
        <w:rPr>
          <w:rFonts w:hint="eastAsia" w:ascii="宋体" w:hAnsi="宋体" w:eastAsia="宋体" w:cs="宋体"/>
          <w:sz w:val="28"/>
          <w:szCs w:val="28"/>
        </w:rPr>
      </w:pPr>
      <w:r>
        <w:rPr>
          <w:rFonts w:hint="eastAsia" w:ascii="宋体" w:hAnsi="宋体" w:eastAsia="宋体" w:cs="宋体"/>
          <w:sz w:val="28"/>
          <w:szCs w:val="28"/>
        </w:rPr>
        <w:t>铜川市行政审批服务局</w:t>
      </w:r>
      <w:r>
        <w:rPr>
          <w:rFonts w:hint="eastAsia" w:ascii="宋体" w:hAnsi="宋体" w:eastAsia="宋体" w:cs="宋体"/>
          <w:sz w:val="28"/>
          <w:szCs w:val="28"/>
          <w:lang w:val="en-US" w:eastAsia="zh-CN"/>
        </w:rPr>
        <w:t>和</w:t>
      </w:r>
      <w:r>
        <w:rPr>
          <w:rFonts w:hint="eastAsia" w:ascii="宋体" w:hAnsi="宋体" w:eastAsia="宋体" w:cs="宋体"/>
          <w:sz w:val="28"/>
          <w:szCs w:val="28"/>
        </w:rPr>
        <w:t>宝鸡市行政审批服务局。</w:t>
      </w:r>
    </w:p>
    <w:p w14:paraId="5D5030F6">
      <w:pPr>
        <w:outlineLvl w:val="0"/>
        <w:rPr>
          <w:rFonts w:hint="eastAsia" w:ascii="宋体" w:hAnsi="宋体" w:eastAsia="宋体" w:cs="宋体"/>
          <w:sz w:val="28"/>
          <w:szCs w:val="28"/>
        </w:rPr>
      </w:pPr>
      <w:r>
        <w:rPr>
          <w:rFonts w:hint="eastAsia" w:ascii="宋体" w:hAnsi="宋体" w:eastAsia="宋体" w:cs="宋体"/>
          <w:sz w:val="28"/>
          <w:szCs w:val="28"/>
          <w:lang w:val="en-US" w:eastAsia="zh-CN"/>
        </w:rPr>
        <w:t>二、</w:t>
      </w:r>
      <w:r>
        <w:rPr>
          <w:rFonts w:hint="eastAsia" w:ascii="宋体" w:hAnsi="宋体" w:eastAsia="宋体" w:cs="宋体"/>
          <w:sz w:val="28"/>
          <w:szCs w:val="28"/>
          <w:lang w:val="en-US" w:eastAsia="en-US"/>
        </w:rPr>
        <w:t>制定标准的必要性</w:t>
      </w:r>
    </w:p>
    <w:p w14:paraId="75CA3AA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cs="Times New Roman"/>
          <w:sz w:val="28"/>
          <w:szCs w:val="28"/>
          <w:highlight w:val="none"/>
          <w:lang w:val="en-US" w:eastAsia="zh-CN"/>
        </w:rPr>
      </w:pPr>
      <w:r>
        <w:rPr>
          <w:rFonts w:hint="eastAsia" w:ascii="宋体" w:cs="Times New Roman"/>
          <w:sz w:val="28"/>
          <w:szCs w:val="28"/>
          <w:highlight w:val="none"/>
          <w:lang w:val="en-US" w:eastAsia="zh-CN"/>
        </w:rPr>
        <w:t>近年来，随着政务服务改革的推进，统一场所、统一提供标准化政务服务，一站式办理成为基层政务服改革的重点和发展方向，政务服务质量和效能也不断提升。但是群众办事时遇到“疑难杂症”的现象依然存在，比如，涉及到多个部门协商配合才能解决的政务服务项目；一些因超限、超期等网络无法预约无法处理的事项；一些随着经济社会发展而出现的新问题和疑难事项等。对于这些事项，如果仅靠服务对象自发打听、询问、反复咨询，会严重影响办事效率。</w:t>
      </w:r>
    </w:p>
    <w:p w14:paraId="00D77E9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cs="Times New Roman"/>
          <w:sz w:val="28"/>
          <w:szCs w:val="28"/>
          <w:highlight w:val="none"/>
          <w:lang w:val="en-US" w:eastAsia="zh-CN"/>
        </w:rPr>
      </w:pPr>
      <w:r>
        <w:rPr>
          <w:rFonts w:hint="eastAsia" w:ascii="宋体" w:cs="Times New Roman"/>
          <w:sz w:val="28"/>
          <w:szCs w:val="28"/>
          <w:highlight w:val="none"/>
          <w:lang w:val="en-US" w:eastAsia="zh-CN"/>
        </w:rPr>
        <w:t>因此，设置“办不成事”反映窗口，是政府解决群众、企业在大厅办事时遇到的“疑难杂症”的一味“良药”。设立“办不成事窗口”，为政务服务方面需要相关部门协作配合才能完成的审批服务事项开设了对症下药的处理渠道，对于提升服务事项办理成效、缩短办理时限、提高服务质量，发挥了重要作用。具体如下：</w:t>
      </w:r>
    </w:p>
    <w:p w14:paraId="2DD1A1E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cs="Times New Roman"/>
          <w:sz w:val="28"/>
          <w:szCs w:val="28"/>
          <w:highlight w:val="none"/>
          <w:lang w:val="en-US" w:eastAsia="zh-CN"/>
        </w:rPr>
      </w:pPr>
      <w:r>
        <w:rPr>
          <w:rFonts w:hint="eastAsia" w:ascii="宋体" w:cs="Times New Roman"/>
          <w:sz w:val="28"/>
          <w:szCs w:val="28"/>
          <w:highlight w:val="none"/>
          <w:lang w:val="en-US" w:eastAsia="zh-CN"/>
        </w:rPr>
        <w:t> （1）为群众办事，根本在于办到群众心坎上，把实事办实、好事办好、难事办妥。群众要办的事，有些处在管理和服务的“交叉地带”“空白地带”，导致一时办不了。这些事，谁来办？怎么办？“办不成事”反映窗口，恰恰满足了群众这方面的需求，体现了政府为群众“办成事”的决心。</w:t>
      </w:r>
    </w:p>
    <w:p w14:paraId="2DF9BE3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cs="Times New Roman"/>
          <w:sz w:val="28"/>
          <w:szCs w:val="28"/>
          <w:highlight w:val="none"/>
          <w:lang w:val="en-US" w:eastAsia="zh-CN"/>
        </w:rPr>
      </w:pPr>
      <w:r>
        <w:rPr>
          <w:rFonts w:hint="eastAsia" w:ascii="宋体" w:cs="Times New Roman"/>
          <w:sz w:val="28"/>
          <w:szCs w:val="28"/>
          <w:highlight w:val="none"/>
          <w:lang w:val="en-US" w:eastAsia="zh-CN"/>
        </w:rPr>
        <w:t>（2）设立“办不成事”反映窗口，不但有利于推动解决“一件事”，而且可以引领服务升级，让政府部门办好“一类事”，促进基层作风能力建设。</w:t>
      </w:r>
    </w:p>
    <w:p w14:paraId="0DFDE0F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cs="Times New Roman"/>
          <w:sz w:val="28"/>
          <w:szCs w:val="28"/>
          <w:highlight w:val="none"/>
          <w:lang w:val="en-US" w:eastAsia="zh-CN"/>
        </w:rPr>
      </w:pPr>
      <w:r>
        <w:rPr>
          <w:rFonts w:hint="eastAsia" w:ascii="宋体" w:cs="Times New Roman"/>
          <w:sz w:val="28"/>
          <w:szCs w:val="28"/>
          <w:highlight w:val="none"/>
          <w:lang w:val="en-US" w:eastAsia="zh-CN"/>
        </w:rPr>
        <w:t>（3）通过设立“办不成事”反映窗口，还可促进机制创新。如一些地方针对重点事项还跟进设立了工作专班机制、联席会议机制、清单销号机制，形成了受理登记—分类处理—销号管理—案例汇总—常态建设的一站式全闭环运行机制，扎实推进难事的解决。还有一些地方，通过“办不成事”反映窗口，推进“跨域通办”、“异地通办”事项的办理进程。</w:t>
      </w:r>
    </w:p>
    <w:p w14:paraId="1BCDD339">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1"/>
        <w:rPr>
          <w:rFonts w:hint="eastAsia" w:ascii="宋体" w:cs="Times New Roman"/>
          <w:sz w:val="28"/>
          <w:szCs w:val="28"/>
          <w:highlight w:val="none"/>
          <w:lang w:val="en-US" w:eastAsia="zh-CN"/>
        </w:rPr>
      </w:pPr>
      <w:r>
        <w:rPr>
          <w:rFonts w:hint="eastAsia" w:ascii="宋体" w:cs="Times New Roman"/>
          <w:sz w:val="28"/>
          <w:szCs w:val="28"/>
          <w:highlight w:val="none"/>
          <w:lang w:val="en-US" w:eastAsia="zh-CN"/>
        </w:rPr>
        <w:t>3.陕西省设置政务服务“办不成事”反映窗口设置情况</w:t>
      </w:r>
    </w:p>
    <w:p w14:paraId="732C165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cs="Times New Roman"/>
          <w:sz w:val="28"/>
          <w:szCs w:val="28"/>
          <w:highlight w:val="none"/>
          <w:lang w:val="en-US" w:eastAsia="zh-CN"/>
        </w:rPr>
      </w:pPr>
      <w:r>
        <w:rPr>
          <w:rFonts w:hint="eastAsia" w:ascii="宋体" w:cs="Times New Roman"/>
          <w:sz w:val="28"/>
          <w:szCs w:val="28"/>
          <w:highlight w:val="none"/>
          <w:lang w:val="en-US" w:eastAsia="zh-CN"/>
        </w:rPr>
        <w:t>在全省“三个年”活动中，我省一些县（区）在政务服务中心、街道党群服务中心、社区便民服务大厅等处设置了“办不成事”反映窗口，集中解决群众、企业办事中的“疑难杂症”，推动急事急办、特事特办、难事易办，为群众“办成事”“解难事”兜底。例如：延安市为解决企业和群众办事难、多头跑、来回跑、体验差等问题，开设了“办不成事”反映窗口，专门处理群众在其他窗口办不了、很难办、不给办的事项，通过提供咨询、指导、协调等职能，成功解决了多起群众办事难题，有效提升了政务服务质量和群众满意度，窗口还设有反馈机制，鼓励群众对服务进行评价和提出改进建议；咸阳市渭城区文汇路街道党群服务中心，“办不成事”反映窗口设立一年多来，在确认的112件“办不成事”问题中，已办成93件，剩下的正在有序办理中；西安市公安局在全市设立了43个“办不成事”反映窗口，包括市政务服务中心公安专厅等各级公安政务服务大厅、警种自建政务服务窗口，接待群众3147人次，接听咨询电话1万余次，解决问题166件，涉及“申请材料不齐全”不敢办、“生硬理解、机械执行政策”不愿办、“业务不熟、态度不好”不给办等问题；榆林市靖边县政务大厅通过设置“办不成事”反映窗口，配备专职人员接待群众咨询和诉求。通过精准的问题分析和专业的解决方案，有效解决了群众在政务服务过程中遇到的各种问题，提升了群众的满意度和获得感。</w:t>
      </w:r>
    </w:p>
    <w:p w14:paraId="4149CDF2">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1"/>
        <w:rPr>
          <w:rFonts w:hint="eastAsia" w:ascii="宋体" w:cs="Times New Roman"/>
          <w:sz w:val="28"/>
          <w:szCs w:val="28"/>
          <w:highlight w:val="none"/>
          <w:lang w:val="en-US" w:eastAsia="zh-CN"/>
        </w:rPr>
      </w:pPr>
      <w:r>
        <w:rPr>
          <w:rFonts w:hint="eastAsia" w:ascii="宋体" w:cs="Times New Roman"/>
          <w:sz w:val="28"/>
          <w:szCs w:val="28"/>
          <w:highlight w:val="none"/>
          <w:lang w:val="en-US" w:eastAsia="zh-CN"/>
        </w:rPr>
        <w:t>4.制定地方标准的必要性</w:t>
      </w:r>
    </w:p>
    <w:p w14:paraId="4C78DE5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cs="Times New Roman"/>
          <w:sz w:val="28"/>
          <w:szCs w:val="28"/>
          <w:highlight w:val="none"/>
          <w:lang w:val="en-US" w:eastAsia="zh-CN"/>
        </w:rPr>
      </w:pPr>
      <w:r>
        <w:rPr>
          <w:rFonts w:hint="eastAsia" w:ascii="宋体" w:cs="Times New Roman"/>
          <w:sz w:val="28"/>
          <w:szCs w:val="28"/>
          <w:highlight w:val="none"/>
          <w:lang w:val="en-US" w:eastAsia="zh-CN"/>
        </w:rPr>
        <w:t>政务服务“办不成事”反映窗口在我省已有一定规模，并逐渐发展壮大，但是目前省内各地市在“办不成事”反映窗口设置、服务人员配置、服务事项办理、服务反馈等方面的要求还不够统一，陕西省政务服务“办不成事”反映窗口效能的还没有完全显现出来。因此急需建立《政务服务“办不成事”反映窗口服务规范》地方标准。通过制定、发布、实施地方标准，具有以下意义：</w:t>
      </w:r>
    </w:p>
    <w:p w14:paraId="476F687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cs="Times New Roman"/>
          <w:sz w:val="28"/>
          <w:szCs w:val="28"/>
          <w:highlight w:val="none"/>
          <w:lang w:val="en-US" w:eastAsia="zh-CN"/>
        </w:rPr>
      </w:pPr>
      <w:r>
        <w:rPr>
          <w:rFonts w:hint="eastAsia" w:ascii="宋体" w:cs="Times New Roman"/>
          <w:sz w:val="28"/>
          <w:szCs w:val="28"/>
          <w:highlight w:val="none"/>
          <w:lang w:val="en-US" w:eastAsia="zh-CN"/>
        </w:rPr>
        <w:t>（1）明确服务范围，制定标准可以清晰界定“办不成事”反映窗口的服务范围和职责，确保群众和企业能够明确知道哪些情况下可以向该窗口反映问题，避免推诿扯皮现象的发生。</w:t>
      </w:r>
    </w:p>
    <w:p w14:paraId="7A532B4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cs="Times New Roman"/>
          <w:sz w:val="28"/>
          <w:szCs w:val="28"/>
          <w:highlight w:val="none"/>
          <w:lang w:val="en-US" w:eastAsia="zh-CN"/>
        </w:rPr>
      </w:pPr>
      <w:r>
        <w:rPr>
          <w:rFonts w:hint="eastAsia" w:ascii="宋体" w:cs="Times New Roman"/>
          <w:sz w:val="28"/>
          <w:szCs w:val="28"/>
          <w:highlight w:val="none"/>
          <w:lang w:val="en-US" w:eastAsia="zh-CN"/>
        </w:rPr>
        <w:t>（2）规范办理流程：通过标准化流程，确保群众和企业反映的问题能够得到及时、有效的处理。这包括接收问题、登记记录、分类处理、跟踪督办、反馈结果等各个环节，提高办事效率，减少办事时间成本。</w:t>
      </w:r>
    </w:p>
    <w:p w14:paraId="6B00482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cs="Times New Roman"/>
          <w:sz w:val="28"/>
          <w:szCs w:val="28"/>
          <w:highlight w:val="none"/>
          <w:lang w:val="en-US" w:eastAsia="zh-CN"/>
        </w:rPr>
      </w:pPr>
      <w:r>
        <w:rPr>
          <w:rFonts w:hint="eastAsia" w:ascii="宋体" w:cs="Times New Roman"/>
          <w:sz w:val="28"/>
          <w:szCs w:val="28"/>
          <w:highlight w:val="none"/>
          <w:lang w:val="en-US" w:eastAsia="zh-CN"/>
        </w:rPr>
        <w:t>（3）增强群众满意度和信任度。设立“办不成事”反映窗口本身就是对群众权益的一种保障。制定标准可以进一步强化这种保障作用，确保群众在办事过程中遇到的难题能够得到妥善解决，增强群众对政务服务的满意度和信任度。</w:t>
      </w:r>
    </w:p>
    <w:p w14:paraId="21EDC22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cs="Times New Roman"/>
          <w:sz w:val="28"/>
          <w:szCs w:val="28"/>
          <w:highlight w:val="none"/>
          <w:lang w:val="en-US" w:eastAsia="zh-CN"/>
        </w:rPr>
      </w:pPr>
      <w:r>
        <w:rPr>
          <w:rFonts w:hint="eastAsia" w:ascii="宋体" w:cs="Times New Roman"/>
          <w:sz w:val="28"/>
          <w:szCs w:val="28"/>
          <w:highlight w:val="none"/>
          <w:lang w:val="en-US" w:eastAsia="zh-CN"/>
        </w:rPr>
        <w:t>（4）提升政府形。一个高效、规范、贴心的“办不成事”反映窗口能够展现政府以人民为中心的发展思想和服务型政府的良好形象。通过制定标准并严格执行，有助于提升政府在社会公众中的形象和声誉。</w:t>
      </w:r>
    </w:p>
    <w:p w14:paraId="703139B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cs="Times New Roman"/>
          <w:sz w:val="28"/>
          <w:szCs w:val="28"/>
          <w:highlight w:val="none"/>
          <w:lang w:val="en-US" w:eastAsia="zh-CN"/>
        </w:rPr>
      </w:pPr>
      <w:r>
        <w:rPr>
          <w:rFonts w:hint="eastAsia" w:ascii="宋体" w:cs="Times New Roman"/>
          <w:sz w:val="28"/>
          <w:szCs w:val="28"/>
          <w:highlight w:val="none"/>
          <w:lang w:val="en-US" w:eastAsia="zh-CN"/>
        </w:rPr>
        <w:t>（5）促进服务优化。在制定标准的过程中，可以借鉴先进经验、吸收创新成果，推动政务服务不断优化升级。比如可以引入智能化技术、建立线上线下联动机制等，提高服务效率和便捷度。</w:t>
      </w:r>
    </w:p>
    <w:p w14:paraId="0CA6760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cs="Times New Roman"/>
          <w:sz w:val="28"/>
          <w:szCs w:val="28"/>
          <w:highlight w:val="none"/>
          <w:lang w:val="en-US" w:eastAsia="zh-CN"/>
        </w:rPr>
      </w:pPr>
      <w:r>
        <w:rPr>
          <w:rFonts w:hint="eastAsia" w:ascii="宋体" w:cs="Times New Roman"/>
          <w:sz w:val="28"/>
          <w:szCs w:val="28"/>
          <w:highlight w:val="none"/>
          <w:lang w:val="en-US" w:eastAsia="zh-CN"/>
        </w:rPr>
        <w:t>（6）形成示范效应。制定并推广“办不成事”反映窗口标准可以形成示范效应，带动其他地区和部门积极跟进、创新服务方式和方法。这有助于推动政务服务整体水平的提升和创新发展。</w:t>
      </w:r>
    </w:p>
    <w:p w14:paraId="5777C4D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cs="Times New Roman"/>
          <w:sz w:val="28"/>
          <w:szCs w:val="28"/>
          <w:highlight w:val="none"/>
          <w:lang w:val="en-US" w:eastAsia="zh-CN"/>
        </w:rPr>
      </w:pPr>
      <w:r>
        <w:rPr>
          <w:rFonts w:hint="eastAsia" w:ascii="宋体" w:cs="Times New Roman"/>
          <w:sz w:val="28"/>
          <w:szCs w:val="28"/>
          <w:highlight w:val="none"/>
          <w:lang w:val="en-US" w:eastAsia="zh-CN"/>
        </w:rPr>
        <w:t>（7）形成监督机制。制定标准可以为监督工作提供明确依据和标准。通过定期或不定期的监督检查可以确保“办不成事”反映窗口的规范运行和服务质量。将“办不成事”反映窗口的工作成效纳入考核体系可以激励工作人员更加积极、主动地履行职责和义务。同时也有助于发现问题、及时整改并持续改进工作。</w:t>
      </w:r>
    </w:p>
    <w:p w14:paraId="7DB94083">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0"/>
        <w:rPr>
          <w:rFonts w:hint="eastAsia" w:ascii="宋体" w:cs="Times New Roman"/>
          <w:sz w:val="28"/>
          <w:szCs w:val="28"/>
          <w:highlight w:val="none"/>
          <w:lang w:val="en-US" w:eastAsia="zh-CN"/>
        </w:rPr>
      </w:pPr>
      <w:r>
        <w:rPr>
          <w:rFonts w:hint="eastAsia" w:ascii="宋体" w:cs="Times New Roman"/>
          <w:sz w:val="28"/>
          <w:szCs w:val="28"/>
          <w:highlight w:val="none"/>
          <w:lang w:val="en-US" w:eastAsia="zh-CN"/>
        </w:rPr>
        <w:t>三、主要起草过程</w:t>
      </w:r>
    </w:p>
    <w:p w14:paraId="495D1727">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1"/>
        <w:rPr>
          <w:rFonts w:hint="eastAsia" w:ascii="宋体" w:cs="Times New Roman"/>
          <w:sz w:val="28"/>
          <w:szCs w:val="28"/>
          <w:highlight w:val="none"/>
          <w:lang w:val="en-US" w:eastAsia="zh-CN"/>
        </w:rPr>
      </w:pPr>
      <w:r>
        <w:rPr>
          <w:rFonts w:hint="eastAsia" w:ascii="宋体" w:cs="Times New Roman"/>
          <w:sz w:val="28"/>
          <w:szCs w:val="28"/>
          <w:highlight w:val="none"/>
          <w:lang w:val="en-US" w:eastAsia="zh-CN"/>
        </w:rPr>
        <w:t>(一)预研阶段</w:t>
      </w:r>
    </w:p>
    <w:p w14:paraId="4BC6457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cs="Times New Roman"/>
          <w:sz w:val="28"/>
          <w:szCs w:val="28"/>
          <w:highlight w:val="none"/>
          <w:lang w:val="en-US" w:eastAsia="zh-CN"/>
        </w:rPr>
      </w:pPr>
      <w:r>
        <w:rPr>
          <w:rFonts w:hint="eastAsia" w:ascii="宋体" w:cs="Times New Roman"/>
          <w:sz w:val="28"/>
          <w:szCs w:val="28"/>
          <w:highlight w:val="none"/>
          <w:lang w:val="en-US" w:eastAsia="zh-CN"/>
        </w:rPr>
        <w:t>收集国家和省内的相关文件，对文件进行详尽的解读分析，后通过相关单位进行了走访调研，听取行业专家学者们意见和建议。结合相关素材及专家学者意见，通过起草小组对材料进行整理分析后，召开标准预研会等环节，针对大家再次提出的相关内容中可借鉴的观点及所指出的相关问题进行梳理，进行可行性论证。通过多次研究讨论，确定标准大纲和编写思路。</w:t>
      </w:r>
    </w:p>
    <w:p w14:paraId="4BA4306F">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1"/>
        <w:rPr>
          <w:rFonts w:hint="eastAsia" w:ascii="宋体" w:cs="Times New Roman"/>
          <w:sz w:val="28"/>
          <w:szCs w:val="28"/>
          <w:highlight w:val="none"/>
          <w:lang w:val="en-US" w:eastAsia="zh-CN"/>
        </w:rPr>
      </w:pPr>
      <w:r>
        <w:rPr>
          <w:rFonts w:hint="eastAsia" w:ascii="宋体" w:cs="Times New Roman"/>
          <w:sz w:val="28"/>
          <w:szCs w:val="28"/>
          <w:highlight w:val="none"/>
          <w:lang w:val="en-US" w:eastAsia="zh-CN"/>
        </w:rPr>
        <w:t>(二)立项阶段</w:t>
      </w:r>
    </w:p>
    <w:p w14:paraId="61818CC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cs="Times New Roman"/>
          <w:sz w:val="28"/>
          <w:szCs w:val="28"/>
          <w:highlight w:val="none"/>
          <w:lang w:val="en-US" w:eastAsia="zh-CN"/>
        </w:rPr>
      </w:pPr>
      <w:r>
        <w:rPr>
          <w:rFonts w:hint="eastAsia" w:ascii="宋体" w:cs="Times New Roman"/>
          <w:sz w:val="28"/>
          <w:szCs w:val="28"/>
          <w:highlight w:val="none"/>
          <w:lang w:val="en-US" w:eastAsia="zh-CN"/>
        </w:rPr>
        <w:t>由延安市行政审批服务局向陕西省政府办公厅提交地方标准制定立项申请函、标准草案、标准编制说明等材料，经陕西省政府办公厅同意后推荐到陕西省市场监督管理局，参加由省市场监督管理局组织的立项答辩并通过，2024年12月25日下达了《陕西省市场监督管理局关于印发《2024年省级地方标准申报指南》的通知（陕市监发〔2024〕39号），本标准正式获批立项。</w:t>
      </w:r>
    </w:p>
    <w:p w14:paraId="3C26D87A">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1"/>
        <w:rPr>
          <w:rFonts w:hint="eastAsia" w:ascii="宋体" w:cs="Times New Roman"/>
          <w:sz w:val="28"/>
          <w:szCs w:val="28"/>
          <w:highlight w:val="none"/>
          <w:lang w:val="en-US" w:eastAsia="zh-CN"/>
        </w:rPr>
      </w:pPr>
      <w:r>
        <w:rPr>
          <w:rFonts w:hint="eastAsia" w:ascii="宋体" w:cs="Times New Roman"/>
          <w:sz w:val="28"/>
          <w:szCs w:val="28"/>
          <w:highlight w:val="none"/>
          <w:lang w:val="en-US" w:eastAsia="zh-CN"/>
        </w:rPr>
        <w:t>(三)起草阶段</w:t>
      </w:r>
    </w:p>
    <w:p w14:paraId="72ADF88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cs="Times New Roman"/>
          <w:sz w:val="28"/>
          <w:szCs w:val="28"/>
          <w:highlight w:val="none"/>
          <w:lang w:val="en-US" w:eastAsia="zh-CN"/>
        </w:rPr>
      </w:pPr>
      <w:r>
        <w:rPr>
          <w:rFonts w:hint="eastAsia" w:ascii="宋体" w:cs="Times New Roman"/>
          <w:sz w:val="28"/>
          <w:szCs w:val="28"/>
          <w:highlight w:val="none"/>
          <w:lang w:val="en-US" w:eastAsia="zh-CN"/>
        </w:rPr>
        <w:t>延安市行政审批服务局、铜川市行政审批服务局和宝鸡市行政审批服务局。共同启动《政务服务“办不成事”反映窗口服务规范》编制工作，成立标准编制小组，收集背景材料和标准编制参考、引用资料，进行归纳整理，搭建标准内容框架，最终形成陕西省地方标准《政务服务“办不成事”反映窗口服务规范》(征求意见稿)，报送陕西省市场监管局审核。</w:t>
      </w:r>
    </w:p>
    <w:p w14:paraId="7FA3615C">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0"/>
        <w:rPr>
          <w:rFonts w:hint="eastAsia" w:ascii="宋体" w:cs="Times New Roman"/>
          <w:sz w:val="28"/>
          <w:szCs w:val="28"/>
          <w:highlight w:val="none"/>
          <w:lang w:val="en-US" w:eastAsia="zh-CN"/>
        </w:rPr>
      </w:pPr>
      <w:r>
        <w:rPr>
          <w:rFonts w:hint="eastAsia" w:ascii="宋体" w:cs="Times New Roman"/>
          <w:sz w:val="28"/>
          <w:szCs w:val="28"/>
          <w:highlight w:val="none"/>
          <w:lang w:val="en-US" w:eastAsia="zh-CN"/>
        </w:rPr>
        <w:t>四、制定标准的原则和依据，与现行法律法规与标准的关系</w:t>
      </w:r>
    </w:p>
    <w:p w14:paraId="7A112B1B">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1"/>
        <w:rPr>
          <w:rFonts w:hint="eastAsia" w:ascii="宋体" w:cs="Times New Roman"/>
          <w:sz w:val="28"/>
          <w:szCs w:val="28"/>
          <w:highlight w:val="none"/>
          <w:lang w:val="en-US" w:eastAsia="zh-CN"/>
        </w:rPr>
      </w:pPr>
      <w:r>
        <w:rPr>
          <w:rFonts w:hint="eastAsia" w:ascii="宋体" w:cs="Times New Roman"/>
          <w:sz w:val="28"/>
          <w:szCs w:val="28"/>
          <w:highlight w:val="none"/>
          <w:lang w:val="en-US" w:eastAsia="zh-CN"/>
        </w:rPr>
        <w:t>(一)标准制定遵循的基本原则</w:t>
      </w:r>
    </w:p>
    <w:p w14:paraId="6EB1E88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cs="Times New Roman"/>
          <w:sz w:val="28"/>
          <w:szCs w:val="28"/>
          <w:highlight w:val="none"/>
          <w:lang w:val="en-US" w:eastAsia="zh-CN"/>
        </w:rPr>
      </w:pPr>
      <w:r>
        <w:rPr>
          <w:rFonts w:hint="eastAsia" w:ascii="宋体" w:cs="Times New Roman"/>
          <w:sz w:val="28"/>
          <w:szCs w:val="28"/>
          <w:highlight w:val="none"/>
          <w:lang w:val="en-US" w:eastAsia="zh-CN"/>
        </w:rPr>
        <w:t>地方标准《政务服务“办不成事”反映窗口服务规范》制定工作严格遵循科学性、规范性和实用性原则，力求标准规定的条款准确无歧义，标准的结构和内容符合GB/T1.1-2020《标准化工作导则第1部分:标准化文件的结构和起草规则》，既遵循相关国家标准和地方标准的要求，又充分体现我省政务服务的特点，使规范实用和可操作。同时，结合政务服务行业发展中的实际经验，参考相关的国家标准和行业标准。</w:t>
      </w:r>
    </w:p>
    <w:p w14:paraId="1061968B">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1"/>
        <w:rPr>
          <w:rFonts w:hint="eastAsia" w:ascii="宋体" w:cs="Times New Roman"/>
          <w:sz w:val="28"/>
          <w:szCs w:val="28"/>
          <w:highlight w:val="none"/>
          <w:lang w:val="en-US" w:eastAsia="zh-CN"/>
        </w:rPr>
      </w:pPr>
      <w:r>
        <w:rPr>
          <w:rFonts w:hint="eastAsia" w:ascii="宋体" w:cs="Times New Roman"/>
          <w:sz w:val="28"/>
          <w:szCs w:val="28"/>
          <w:highlight w:val="none"/>
          <w:lang w:val="en-US" w:eastAsia="zh-CN"/>
        </w:rPr>
        <w:t>(二)标准的确定依据及主要内容的说明</w:t>
      </w:r>
    </w:p>
    <w:p w14:paraId="664389C7">
      <w:pPr>
        <w:keepNext w:val="0"/>
        <w:keepLines w:val="0"/>
        <w:pageBreakBefore w:val="0"/>
        <w:widowControl w:val="0"/>
        <w:kinsoku/>
        <w:wordWrap/>
        <w:overflowPunct/>
        <w:topLinePunct w:val="0"/>
        <w:autoSpaceDE/>
        <w:autoSpaceDN/>
        <w:bidi w:val="0"/>
        <w:adjustRightInd/>
        <w:snapToGrid/>
        <w:ind w:firstLine="562" w:firstLineChars="200"/>
        <w:textAlignment w:val="auto"/>
        <w:outlineLvl w:val="2"/>
        <w:rPr>
          <w:rFonts w:hint="eastAsia" w:ascii="宋体" w:cs="Times New Roman"/>
          <w:b/>
          <w:bCs/>
          <w:sz w:val="28"/>
          <w:szCs w:val="28"/>
          <w:highlight w:val="none"/>
          <w:lang w:val="en-US" w:eastAsia="zh-CN"/>
        </w:rPr>
      </w:pPr>
      <w:r>
        <w:rPr>
          <w:rFonts w:hint="eastAsia" w:ascii="宋体" w:cs="Times New Roman"/>
          <w:b/>
          <w:bCs/>
          <w:sz w:val="28"/>
          <w:szCs w:val="28"/>
          <w:highlight w:val="none"/>
          <w:lang w:val="en-US" w:eastAsia="zh-CN"/>
        </w:rPr>
        <w:t>1、编制依据</w:t>
      </w:r>
    </w:p>
    <w:p w14:paraId="073BDCB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en-US" w:eastAsia="zh-CN"/>
        </w:rPr>
      </w:pPr>
      <w:r>
        <w:rPr>
          <w:rFonts w:hint="eastAsia" w:ascii="宋体" w:cs="Times New Roman"/>
          <w:sz w:val="28"/>
          <w:szCs w:val="28"/>
          <w:highlight w:val="none"/>
          <w:lang w:val="en-US" w:eastAsia="zh-CN"/>
        </w:rPr>
        <w:t>按照《标准化工作导则第1部分:标准化文件的结构和起草规则》(GB/T 1.1-2020)要求进行起草。在编制过程中参考了现有的国家、地方和行业标准，同时考虑了政务服务的实际需要。</w:t>
      </w:r>
    </w:p>
    <w:p w14:paraId="30564FB5">
      <w:pPr>
        <w:ind w:firstLine="562" w:firstLineChars="200"/>
        <w:outlineLvl w:val="2"/>
        <w:rPr>
          <w:rFonts w:hint="eastAsia" w:ascii="宋体" w:hAnsi="宋体" w:eastAsia="宋体" w:cs="宋体"/>
          <w:b/>
          <w:bCs/>
          <w:sz w:val="28"/>
          <w:szCs w:val="28"/>
        </w:rPr>
      </w:pPr>
      <w:r>
        <w:rPr>
          <w:rFonts w:hint="eastAsia" w:ascii="宋体" w:hAnsi="宋体" w:eastAsia="宋体" w:cs="宋体"/>
          <w:b/>
          <w:bCs/>
          <w:sz w:val="28"/>
          <w:szCs w:val="28"/>
          <w:lang w:val="en-US" w:eastAsia="zh-CN"/>
        </w:rPr>
        <w:t>2、</w:t>
      </w:r>
      <w:r>
        <w:rPr>
          <w:rFonts w:hint="eastAsia" w:ascii="宋体" w:hAnsi="宋体" w:eastAsia="宋体" w:cs="宋体"/>
          <w:b/>
          <w:bCs/>
          <w:sz w:val="28"/>
          <w:szCs w:val="28"/>
        </w:rPr>
        <w:t>主要内容</w:t>
      </w:r>
    </w:p>
    <w:p w14:paraId="71FAE15E">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3"/>
        <w:rPr>
          <w:rFonts w:hint="default" w:ascii="宋体" w:cs="Times New Roman"/>
          <w:sz w:val="28"/>
          <w:szCs w:val="28"/>
          <w:highlight w:val="none"/>
          <w:lang w:val="en-US" w:eastAsia="zh-CN"/>
        </w:rPr>
      </w:pPr>
      <w:r>
        <w:rPr>
          <w:rFonts w:hint="eastAsia" w:ascii="宋体" w:cs="Times New Roman"/>
          <w:sz w:val="28"/>
          <w:szCs w:val="28"/>
          <w:highlight w:val="none"/>
          <w:lang w:val="en-US" w:eastAsia="zh-CN"/>
        </w:rPr>
        <w:t>1）、范围</w:t>
      </w:r>
    </w:p>
    <w:p w14:paraId="0F87F54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cs="Times New Roman"/>
          <w:sz w:val="28"/>
          <w:szCs w:val="28"/>
          <w:highlight w:val="none"/>
          <w:lang w:val="en-US" w:eastAsia="zh-CN"/>
        </w:rPr>
      </w:pPr>
      <w:r>
        <w:rPr>
          <w:rFonts w:hint="eastAsia" w:ascii="宋体" w:cs="Times New Roman"/>
          <w:sz w:val="28"/>
          <w:szCs w:val="28"/>
          <w:highlight w:val="none"/>
          <w:lang w:val="en-US" w:eastAsia="zh-CN"/>
        </w:rPr>
        <w:t>本文件规定了政务服务中心设立的“办不成事”反映窗口服务的基本要求、窗口设置、服务内容、服务方法、服务流程、服务时限、监督与检查、评价与改进及证实方法。</w:t>
      </w:r>
    </w:p>
    <w:p w14:paraId="14C1D4F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cs="Times New Roman"/>
          <w:sz w:val="28"/>
          <w:szCs w:val="28"/>
          <w:highlight w:val="none"/>
          <w:lang w:val="en-US" w:eastAsia="zh-CN"/>
        </w:rPr>
      </w:pPr>
      <w:r>
        <w:rPr>
          <w:rFonts w:hint="eastAsia" w:ascii="宋体" w:cs="Times New Roman"/>
          <w:sz w:val="28"/>
          <w:szCs w:val="28"/>
          <w:highlight w:val="none"/>
          <w:lang w:val="en-US" w:eastAsia="zh-CN"/>
        </w:rPr>
        <w:t>本文件适用于政务服务中心设立的线下“办不成事”反映窗口的服务和管理工作。</w:t>
      </w:r>
    </w:p>
    <w:p w14:paraId="5A450A31">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3"/>
        <w:rPr>
          <w:rFonts w:hint="eastAsia" w:ascii="宋体" w:cs="Times New Roman"/>
          <w:sz w:val="28"/>
          <w:szCs w:val="28"/>
          <w:highlight w:val="none"/>
          <w:lang w:val="en-US" w:eastAsia="zh-CN"/>
        </w:rPr>
      </w:pPr>
      <w:r>
        <w:rPr>
          <w:rFonts w:hint="eastAsia" w:ascii="宋体" w:cs="Times New Roman"/>
          <w:sz w:val="28"/>
          <w:szCs w:val="28"/>
          <w:highlight w:val="none"/>
          <w:lang w:val="en-US" w:eastAsia="zh-CN"/>
        </w:rPr>
        <w:t>2）、规范性引用文件</w:t>
      </w:r>
    </w:p>
    <w:p w14:paraId="10241A5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cs="Times New Roman"/>
          <w:sz w:val="28"/>
          <w:szCs w:val="28"/>
          <w:highlight w:val="none"/>
          <w:lang w:val="en-US" w:eastAsia="zh-CN"/>
        </w:rPr>
      </w:pPr>
      <w:r>
        <w:rPr>
          <w:rFonts w:hint="eastAsia" w:ascii="宋体" w:cs="Times New Roman"/>
          <w:sz w:val="28"/>
          <w:szCs w:val="28"/>
          <w:highlight w:val="none"/>
          <w:lang w:val="en-US" w:eastAsia="zh-CN"/>
        </w:rPr>
        <w:t>本文件有3项引用标准：GB/T 32169.3 政务服务中心运行规范第3部分:窗口服务提供要求、GB/T 32169.4 政务服务中心运行规范第4部分:窗口服务评价要求和GB/T 36113   政务服务中心服务投诉处置规范。</w:t>
      </w:r>
    </w:p>
    <w:p w14:paraId="00F9FB42">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3"/>
        <w:rPr>
          <w:rFonts w:hint="eastAsia" w:ascii="宋体" w:cs="Times New Roman"/>
          <w:sz w:val="28"/>
          <w:szCs w:val="28"/>
          <w:highlight w:val="none"/>
          <w:lang w:val="en-US" w:eastAsia="zh-CN"/>
        </w:rPr>
      </w:pPr>
      <w:r>
        <w:rPr>
          <w:rFonts w:hint="eastAsia" w:ascii="宋体" w:cs="Times New Roman"/>
          <w:sz w:val="28"/>
          <w:szCs w:val="28"/>
          <w:highlight w:val="none"/>
          <w:lang w:val="en-US" w:eastAsia="zh-CN"/>
        </w:rPr>
        <w:t>3）、术语和定义</w:t>
      </w:r>
    </w:p>
    <w:p w14:paraId="0FB971B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cs="Times New Roman"/>
          <w:sz w:val="28"/>
          <w:szCs w:val="28"/>
          <w:highlight w:val="none"/>
          <w:lang w:val="en-US" w:eastAsia="zh-CN"/>
        </w:rPr>
      </w:pPr>
      <w:r>
        <w:rPr>
          <w:rFonts w:hint="eastAsia" w:ascii="宋体" w:cs="Times New Roman"/>
          <w:sz w:val="28"/>
          <w:szCs w:val="28"/>
          <w:highlight w:val="none"/>
          <w:lang w:val="en-US" w:eastAsia="zh-CN"/>
        </w:rPr>
        <w:t>本文件有““办不成事”反映窗口”、““办不成事”事项”2个术语和定义。</w:t>
      </w:r>
    </w:p>
    <w:p w14:paraId="22D57DEB">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3"/>
        <w:rPr>
          <w:rFonts w:hint="eastAsia" w:ascii="宋体" w:cs="Times New Roman"/>
          <w:sz w:val="28"/>
          <w:szCs w:val="28"/>
          <w:highlight w:val="none"/>
          <w:lang w:val="en-US" w:eastAsia="zh-CN"/>
        </w:rPr>
      </w:pPr>
      <w:r>
        <w:rPr>
          <w:rFonts w:hint="eastAsia" w:ascii="宋体" w:cs="Times New Roman"/>
          <w:sz w:val="28"/>
          <w:szCs w:val="28"/>
          <w:highlight w:val="none"/>
          <w:lang w:val="en-US" w:eastAsia="zh-CN"/>
        </w:rPr>
        <w:t>4）、基本要求</w:t>
      </w:r>
    </w:p>
    <w:p w14:paraId="199F2F9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cs="Times New Roman"/>
          <w:sz w:val="28"/>
          <w:szCs w:val="28"/>
          <w:highlight w:val="none"/>
          <w:lang w:val="en-US" w:eastAsia="zh-CN"/>
        </w:rPr>
      </w:pPr>
      <w:r>
        <w:rPr>
          <w:rFonts w:hint="eastAsia" w:ascii="宋体" w:cs="Times New Roman"/>
          <w:sz w:val="28"/>
          <w:szCs w:val="28"/>
          <w:highlight w:val="none"/>
          <w:lang w:val="en-US" w:eastAsia="zh-CN"/>
        </w:rPr>
        <w:t>给出了服务过程中的4项基本要求。</w:t>
      </w:r>
    </w:p>
    <w:p w14:paraId="4A73F212">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outlineLvl w:val="3"/>
        <w:rPr>
          <w:rFonts w:hint="eastAsia" w:ascii="宋体" w:cs="Times New Roman"/>
          <w:sz w:val="28"/>
          <w:szCs w:val="28"/>
          <w:highlight w:val="none"/>
          <w:lang w:val="en-US" w:eastAsia="zh-CN"/>
        </w:rPr>
      </w:pPr>
      <w:r>
        <w:rPr>
          <w:rFonts w:hint="eastAsia" w:ascii="宋体" w:cs="Times New Roman"/>
          <w:sz w:val="28"/>
          <w:szCs w:val="28"/>
          <w:highlight w:val="none"/>
          <w:lang w:val="en-US" w:eastAsia="zh-CN"/>
        </w:rPr>
        <w:t>5）、窗口设置</w:t>
      </w:r>
    </w:p>
    <w:p w14:paraId="0D8DEC3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宋体" w:cs="Times New Roman"/>
          <w:sz w:val="28"/>
          <w:szCs w:val="28"/>
          <w:highlight w:val="none"/>
          <w:lang w:val="en-US" w:eastAsia="zh-CN"/>
        </w:rPr>
      </w:pPr>
      <w:r>
        <w:rPr>
          <w:rFonts w:hint="eastAsia" w:ascii="宋体" w:cs="Times New Roman"/>
          <w:sz w:val="28"/>
          <w:szCs w:val="28"/>
          <w:highlight w:val="none"/>
          <w:lang w:val="en-US" w:eastAsia="zh-CN"/>
        </w:rPr>
        <w:t>给出了窗口设置的要求。</w:t>
      </w:r>
    </w:p>
    <w:p w14:paraId="1CE248E2">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3"/>
        <w:rPr>
          <w:rFonts w:hint="default" w:ascii="宋体" w:cs="Times New Roman"/>
          <w:sz w:val="28"/>
          <w:szCs w:val="28"/>
          <w:highlight w:val="none"/>
          <w:lang w:val="en-US" w:eastAsia="zh-CN"/>
        </w:rPr>
      </w:pPr>
      <w:r>
        <w:rPr>
          <w:rFonts w:hint="eastAsia" w:ascii="宋体" w:cs="Times New Roman"/>
          <w:sz w:val="28"/>
          <w:szCs w:val="28"/>
          <w:highlight w:val="none"/>
          <w:lang w:val="en-US" w:eastAsia="zh-CN"/>
        </w:rPr>
        <w:t>6）、服务内容</w:t>
      </w:r>
    </w:p>
    <w:p w14:paraId="0D69246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cs="Times New Roman"/>
          <w:sz w:val="28"/>
          <w:szCs w:val="28"/>
          <w:highlight w:val="none"/>
          <w:lang w:val="en-US" w:eastAsia="zh-CN"/>
        </w:rPr>
      </w:pPr>
      <w:r>
        <w:rPr>
          <w:rFonts w:hint="eastAsia" w:ascii="宋体" w:cs="Times New Roman"/>
          <w:sz w:val="28"/>
          <w:szCs w:val="28"/>
          <w:highlight w:val="none"/>
          <w:lang w:val="en-US" w:eastAsia="zh-CN"/>
        </w:rPr>
        <w:t>给出了受理集中处理除正常窗口业务以外的，非服务对象自身原因“办不成事”的问题，并收集服务对象办事难点和堵点的服务内容。</w:t>
      </w:r>
    </w:p>
    <w:p w14:paraId="29675B5A">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3"/>
        <w:rPr>
          <w:rFonts w:hint="default" w:ascii="宋体" w:cs="Times New Roman"/>
          <w:sz w:val="28"/>
          <w:szCs w:val="28"/>
          <w:highlight w:val="none"/>
          <w:lang w:val="en-US" w:eastAsia="zh-CN"/>
        </w:rPr>
      </w:pPr>
      <w:r>
        <w:rPr>
          <w:rFonts w:hint="eastAsia" w:ascii="宋体" w:cs="Times New Roman"/>
          <w:sz w:val="28"/>
          <w:szCs w:val="28"/>
          <w:highlight w:val="none"/>
          <w:lang w:val="en-US" w:eastAsia="zh-CN"/>
        </w:rPr>
        <w:t>7）、服务方式</w:t>
      </w:r>
    </w:p>
    <w:p w14:paraId="37DF7A4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cs="Times New Roman"/>
          <w:sz w:val="28"/>
          <w:szCs w:val="28"/>
          <w:highlight w:val="none"/>
          <w:lang w:val="en-US" w:eastAsia="zh-CN"/>
        </w:rPr>
      </w:pPr>
      <w:r>
        <w:rPr>
          <w:rFonts w:hint="eastAsia" w:ascii="宋体" w:cs="Times New Roman"/>
          <w:sz w:val="28"/>
          <w:szCs w:val="28"/>
          <w:highlight w:val="none"/>
          <w:lang w:val="en-US" w:eastAsia="zh-CN"/>
        </w:rPr>
        <w:t>给出了4种服务方式。</w:t>
      </w:r>
    </w:p>
    <w:p w14:paraId="5ACD96DE">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outlineLvl w:val="3"/>
        <w:rPr>
          <w:rFonts w:hint="eastAsia" w:ascii="宋体" w:cs="Times New Roman"/>
          <w:sz w:val="28"/>
          <w:szCs w:val="28"/>
          <w:highlight w:val="none"/>
          <w:lang w:val="en-US" w:eastAsia="zh-CN"/>
        </w:rPr>
      </w:pPr>
      <w:r>
        <w:rPr>
          <w:rFonts w:hint="eastAsia" w:ascii="宋体" w:cs="Times New Roman"/>
          <w:sz w:val="28"/>
          <w:szCs w:val="28"/>
          <w:highlight w:val="none"/>
          <w:lang w:val="en-US" w:eastAsia="zh-CN"/>
        </w:rPr>
        <w:t>8）、服务流程</w:t>
      </w:r>
    </w:p>
    <w:p w14:paraId="00A475BC">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宋体" w:cs="Times New Roman"/>
          <w:sz w:val="28"/>
          <w:szCs w:val="28"/>
          <w:highlight w:val="none"/>
          <w:lang w:val="en-US" w:eastAsia="zh-CN"/>
        </w:rPr>
      </w:pPr>
      <w:r>
        <w:rPr>
          <w:rFonts w:hint="eastAsia" w:ascii="宋体" w:cs="Times New Roman"/>
          <w:sz w:val="28"/>
          <w:szCs w:val="28"/>
          <w:highlight w:val="none"/>
          <w:lang w:val="en-US" w:eastAsia="zh-CN"/>
        </w:rPr>
        <w:t>规定了接受咨询、受理申请、审查、办理、转办、办结、评价及资料归档的要求。</w:t>
      </w:r>
    </w:p>
    <w:p w14:paraId="7D38CFFB">
      <w:pPr>
        <w:keepNext w:val="0"/>
        <w:keepLines w:val="0"/>
        <w:pageBreakBefore w:val="0"/>
        <w:widowControl w:val="0"/>
        <w:numPr>
          <w:ilvl w:val="0"/>
          <w:numId w:val="0"/>
        </w:numPr>
        <w:kinsoku/>
        <w:wordWrap/>
        <w:overflowPunct/>
        <w:topLinePunct w:val="0"/>
        <w:autoSpaceDE/>
        <w:autoSpaceDN/>
        <w:bidi w:val="0"/>
        <w:adjustRightInd/>
        <w:snapToGrid/>
        <w:ind w:leftChars="200"/>
        <w:textAlignment w:val="auto"/>
        <w:outlineLvl w:val="3"/>
        <w:rPr>
          <w:rFonts w:hint="eastAsia" w:ascii="宋体" w:cs="Times New Roman"/>
          <w:sz w:val="28"/>
          <w:szCs w:val="28"/>
          <w:highlight w:val="none"/>
          <w:lang w:val="en-US" w:eastAsia="zh-CN"/>
        </w:rPr>
      </w:pPr>
      <w:r>
        <w:rPr>
          <w:rFonts w:hint="eastAsia" w:ascii="宋体" w:cs="Times New Roman"/>
          <w:sz w:val="28"/>
          <w:szCs w:val="28"/>
          <w:highlight w:val="none"/>
          <w:lang w:val="en-US" w:eastAsia="zh-CN"/>
        </w:rPr>
        <w:t>9）、服务时限</w:t>
      </w:r>
    </w:p>
    <w:p w14:paraId="66FB09E7">
      <w:pPr>
        <w:keepNext w:val="0"/>
        <w:keepLines w:val="0"/>
        <w:pageBreakBefore w:val="0"/>
        <w:widowControl w:val="0"/>
        <w:numPr>
          <w:ilvl w:val="0"/>
          <w:numId w:val="0"/>
        </w:numPr>
        <w:kinsoku/>
        <w:wordWrap/>
        <w:overflowPunct/>
        <w:topLinePunct w:val="0"/>
        <w:autoSpaceDE/>
        <w:autoSpaceDN/>
        <w:bidi w:val="0"/>
        <w:adjustRightInd/>
        <w:snapToGrid/>
        <w:ind w:leftChars="200"/>
        <w:textAlignment w:val="auto"/>
        <w:rPr>
          <w:rFonts w:hint="default" w:ascii="宋体" w:cs="Times New Roman"/>
          <w:sz w:val="28"/>
          <w:szCs w:val="28"/>
          <w:highlight w:val="none"/>
          <w:lang w:val="en-US" w:eastAsia="zh-CN"/>
        </w:rPr>
      </w:pPr>
      <w:r>
        <w:rPr>
          <w:rFonts w:hint="eastAsia" w:ascii="宋体" w:cs="Times New Roman"/>
          <w:sz w:val="28"/>
          <w:szCs w:val="28"/>
          <w:highlight w:val="none"/>
          <w:lang w:val="en-US" w:eastAsia="zh-CN"/>
        </w:rPr>
        <w:t>规定了不同服务事项的时限要求。</w:t>
      </w:r>
    </w:p>
    <w:p w14:paraId="0BC089DC">
      <w:pPr>
        <w:keepNext w:val="0"/>
        <w:keepLines w:val="0"/>
        <w:pageBreakBefore w:val="0"/>
        <w:widowControl w:val="0"/>
        <w:numPr>
          <w:ilvl w:val="0"/>
          <w:numId w:val="0"/>
        </w:numPr>
        <w:kinsoku/>
        <w:wordWrap/>
        <w:overflowPunct/>
        <w:topLinePunct w:val="0"/>
        <w:autoSpaceDE/>
        <w:autoSpaceDN/>
        <w:bidi w:val="0"/>
        <w:adjustRightInd/>
        <w:snapToGrid/>
        <w:ind w:leftChars="200"/>
        <w:textAlignment w:val="auto"/>
        <w:outlineLvl w:val="3"/>
        <w:rPr>
          <w:rFonts w:hint="default" w:ascii="宋体" w:cs="Times New Roman"/>
          <w:sz w:val="28"/>
          <w:szCs w:val="28"/>
          <w:highlight w:val="none"/>
          <w:lang w:val="en-US" w:eastAsia="zh-CN"/>
        </w:rPr>
      </w:pPr>
      <w:r>
        <w:rPr>
          <w:rFonts w:hint="eastAsia" w:ascii="宋体" w:cs="Times New Roman"/>
          <w:sz w:val="28"/>
          <w:szCs w:val="28"/>
          <w:highlight w:val="none"/>
          <w:lang w:val="en-US" w:eastAsia="zh-CN"/>
        </w:rPr>
        <w:t>10）、监督与检查</w:t>
      </w:r>
    </w:p>
    <w:p w14:paraId="453F6D82">
      <w:pPr>
        <w:keepNext w:val="0"/>
        <w:keepLines w:val="0"/>
        <w:pageBreakBefore w:val="0"/>
        <w:widowControl w:val="0"/>
        <w:numPr>
          <w:ilvl w:val="0"/>
          <w:numId w:val="0"/>
        </w:numPr>
        <w:kinsoku/>
        <w:wordWrap/>
        <w:overflowPunct/>
        <w:topLinePunct w:val="0"/>
        <w:autoSpaceDE/>
        <w:autoSpaceDN/>
        <w:bidi w:val="0"/>
        <w:adjustRightInd/>
        <w:snapToGrid/>
        <w:ind w:leftChars="200"/>
        <w:textAlignment w:val="auto"/>
        <w:rPr>
          <w:rFonts w:hint="default" w:ascii="宋体" w:cs="Times New Roman"/>
          <w:sz w:val="28"/>
          <w:szCs w:val="28"/>
          <w:highlight w:val="none"/>
          <w:lang w:val="en-US" w:eastAsia="zh-CN"/>
        </w:rPr>
      </w:pPr>
      <w:r>
        <w:rPr>
          <w:rFonts w:hint="eastAsia" w:ascii="宋体" w:cs="Times New Roman"/>
          <w:sz w:val="28"/>
          <w:szCs w:val="28"/>
          <w:highlight w:val="none"/>
          <w:lang w:val="en-US" w:eastAsia="zh-CN"/>
        </w:rPr>
        <w:t>给出了具体检查机制的要求。</w:t>
      </w:r>
    </w:p>
    <w:p w14:paraId="013AC9B5">
      <w:pPr>
        <w:keepNext w:val="0"/>
        <w:keepLines w:val="0"/>
        <w:pageBreakBefore w:val="0"/>
        <w:widowControl w:val="0"/>
        <w:numPr>
          <w:ilvl w:val="0"/>
          <w:numId w:val="0"/>
        </w:numPr>
        <w:kinsoku/>
        <w:wordWrap/>
        <w:overflowPunct/>
        <w:topLinePunct w:val="0"/>
        <w:autoSpaceDE/>
        <w:autoSpaceDN/>
        <w:bidi w:val="0"/>
        <w:adjustRightInd/>
        <w:snapToGrid/>
        <w:ind w:leftChars="200"/>
        <w:textAlignment w:val="auto"/>
        <w:outlineLvl w:val="3"/>
        <w:rPr>
          <w:rFonts w:hint="default" w:ascii="宋体" w:cs="Times New Roman"/>
          <w:sz w:val="28"/>
          <w:szCs w:val="28"/>
          <w:highlight w:val="none"/>
          <w:lang w:val="en-US" w:eastAsia="zh-CN"/>
        </w:rPr>
      </w:pPr>
      <w:r>
        <w:rPr>
          <w:rFonts w:hint="eastAsia" w:ascii="宋体" w:cs="Times New Roman"/>
          <w:sz w:val="28"/>
          <w:szCs w:val="28"/>
          <w:highlight w:val="none"/>
          <w:lang w:val="en-US" w:eastAsia="zh-CN"/>
        </w:rPr>
        <w:t>11）、评价与改进</w:t>
      </w:r>
    </w:p>
    <w:p w14:paraId="543DB3E7">
      <w:pPr>
        <w:keepNext w:val="0"/>
        <w:keepLines w:val="0"/>
        <w:pageBreakBefore w:val="0"/>
        <w:widowControl w:val="0"/>
        <w:numPr>
          <w:ilvl w:val="0"/>
          <w:numId w:val="0"/>
        </w:numPr>
        <w:kinsoku/>
        <w:wordWrap/>
        <w:overflowPunct/>
        <w:topLinePunct w:val="0"/>
        <w:autoSpaceDE/>
        <w:autoSpaceDN/>
        <w:bidi w:val="0"/>
        <w:adjustRightInd/>
        <w:snapToGrid/>
        <w:ind w:leftChars="200"/>
        <w:textAlignment w:val="auto"/>
        <w:rPr>
          <w:rFonts w:hint="default" w:ascii="宋体" w:cs="Times New Roman"/>
          <w:sz w:val="28"/>
          <w:szCs w:val="28"/>
          <w:highlight w:val="none"/>
          <w:lang w:val="en-US" w:eastAsia="zh-CN"/>
        </w:rPr>
      </w:pPr>
      <w:r>
        <w:rPr>
          <w:rFonts w:hint="eastAsia" w:ascii="宋体" w:cs="Times New Roman"/>
          <w:sz w:val="28"/>
          <w:szCs w:val="28"/>
          <w:highlight w:val="none"/>
          <w:lang w:val="en-US" w:eastAsia="zh-CN"/>
        </w:rPr>
        <w:t>给出了评价机制、跟踪回访及改进的要求。</w:t>
      </w:r>
    </w:p>
    <w:p w14:paraId="41000F45">
      <w:pPr>
        <w:keepNext w:val="0"/>
        <w:keepLines w:val="0"/>
        <w:pageBreakBefore w:val="0"/>
        <w:widowControl w:val="0"/>
        <w:numPr>
          <w:ilvl w:val="0"/>
          <w:numId w:val="0"/>
        </w:numPr>
        <w:kinsoku/>
        <w:wordWrap/>
        <w:overflowPunct/>
        <w:topLinePunct w:val="0"/>
        <w:autoSpaceDE/>
        <w:autoSpaceDN/>
        <w:bidi w:val="0"/>
        <w:adjustRightInd/>
        <w:snapToGrid/>
        <w:ind w:leftChars="200"/>
        <w:textAlignment w:val="auto"/>
        <w:outlineLvl w:val="3"/>
        <w:rPr>
          <w:rFonts w:hint="default" w:ascii="宋体" w:cs="Times New Roman"/>
          <w:sz w:val="28"/>
          <w:szCs w:val="28"/>
          <w:highlight w:val="none"/>
          <w:lang w:val="en-US" w:eastAsia="zh-CN"/>
        </w:rPr>
      </w:pPr>
      <w:r>
        <w:rPr>
          <w:rFonts w:hint="eastAsia" w:ascii="宋体" w:cs="Times New Roman"/>
          <w:sz w:val="28"/>
          <w:szCs w:val="28"/>
          <w:highlight w:val="none"/>
          <w:lang w:val="en-US" w:eastAsia="zh-CN"/>
        </w:rPr>
        <w:t>12）、证实方法</w:t>
      </w:r>
    </w:p>
    <w:p w14:paraId="256097F2">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default" w:ascii="宋体" w:cs="Times New Roman"/>
          <w:sz w:val="28"/>
          <w:szCs w:val="28"/>
          <w:highlight w:val="none"/>
          <w:lang w:val="en-US" w:eastAsia="zh-CN"/>
        </w:rPr>
      </w:pPr>
      <w:r>
        <w:rPr>
          <w:rFonts w:hint="eastAsia" w:ascii="宋体" w:cs="Times New Roman"/>
          <w:sz w:val="28"/>
          <w:szCs w:val="28"/>
          <w:highlight w:val="none"/>
          <w:lang w:val="en-US" w:eastAsia="zh-CN"/>
        </w:rPr>
        <w:t>给出了记录与台账核实、回访结果核对、办理时限检查、现场观察与模拟测试、数据分析与问题排查及监督评价结果评估的具体证实方法。</w:t>
      </w:r>
    </w:p>
    <w:p w14:paraId="3C7BEC01">
      <w:pPr>
        <w:pStyle w:val="5"/>
        <w:numPr>
          <w:ilvl w:val="0"/>
          <w:numId w:val="0"/>
        </w:numPr>
        <w:ind w:leftChars="0"/>
        <w:jc w:val="left"/>
        <w:outlineLvl w:val="0"/>
        <w:rPr>
          <w:rFonts w:hint="eastAsia" w:asciiTheme="majorEastAsia" w:hAnsiTheme="majorEastAsia" w:eastAsiaTheme="majorEastAsia"/>
          <w:b/>
          <w:sz w:val="28"/>
          <w:szCs w:val="28"/>
        </w:rPr>
      </w:pPr>
      <w:r>
        <w:rPr>
          <w:rFonts w:hint="eastAsia" w:asciiTheme="majorEastAsia" w:hAnsiTheme="majorEastAsia" w:eastAsiaTheme="majorEastAsia"/>
          <w:b/>
          <w:sz w:val="28"/>
          <w:szCs w:val="28"/>
          <w:lang w:val="en-US" w:eastAsia="zh-CN"/>
        </w:rPr>
        <w:t>五</w:t>
      </w:r>
      <w:r>
        <w:rPr>
          <w:rFonts w:hint="eastAsia" w:asciiTheme="majorEastAsia" w:hAnsiTheme="majorEastAsia" w:eastAsiaTheme="majorEastAsia"/>
          <w:b/>
          <w:sz w:val="28"/>
          <w:szCs w:val="28"/>
          <w:lang w:eastAsia="zh-CN"/>
        </w:rPr>
        <w:t>、</w:t>
      </w:r>
      <w:r>
        <w:rPr>
          <w:rFonts w:hint="eastAsia" w:asciiTheme="majorEastAsia" w:hAnsiTheme="majorEastAsia" w:eastAsiaTheme="majorEastAsia"/>
          <w:b/>
          <w:sz w:val="28"/>
          <w:szCs w:val="28"/>
        </w:rPr>
        <w:t>知识产权说明</w:t>
      </w:r>
    </w:p>
    <w:p w14:paraId="622A911C">
      <w:pPr>
        <w:ind w:firstLine="570"/>
        <w:jc w:val="left"/>
        <w:rPr>
          <w:rFonts w:hint="eastAsia" w:asciiTheme="minorEastAsia" w:hAnsiTheme="minorEastAsia"/>
          <w:sz w:val="28"/>
          <w:szCs w:val="28"/>
        </w:rPr>
      </w:pPr>
      <w:r>
        <w:rPr>
          <w:rFonts w:hint="eastAsia" w:asciiTheme="minorEastAsia" w:hAnsiTheme="minorEastAsia"/>
          <w:sz w:val="28"/>
          <w:szCs w:val="28"/>
        </w:rPr>
        <w:t>无。</w:t>
      </w:r>
    </w:p>
    <w:p w14:paraId="136E7F21">
      <w:pPr>
        <w:pStyle w:val="5"/>
        <w:numPr>
          <w:ilvl w:val="0"/>
          <w:numId w:val="0"/>
        </w:numPr>
        <w:ind w:leftChars="0"/>
        <w:jc w:val="left"/>
        <w:outlineLvl w:val="0"/>
        <w:rPr>
          <w:rFonts w:hint="eastAsia" w:asciiTheme="majorEastAsia" w:hAnsiTheme="majorEastAsia" w:eastAsiaTheme="majorEastAsia"/>
          <w:b/>
          <w:sz w:val="28"/>
          <w:szCs w:val="28"/>
        </w:rPr>
      </w:pPr>
      <w:r>
        <w:rPr>
          <w:rFonts w:hint="eastAsia" w:asciiTheme="majorEastAsia" w:hAnsiTheme="majorEastAsia" w:eastAsiaTheme="majorEastAsia"/>
          <w:b/>
          <w:sz w:val="28"/>
          <w:szCs w:val="28"/>
          <w:lang w:val="en-US" w:eastAsia="zh-CN"/>
        </w:rPr>
        <w:t>六</w:t>
      </w:r>
      <w:r>
        <w:rPr>
          <w:rFonts w:hint="eastAsia" w:asciiTheme="majorEastAsia" w:hAnsiTheme="majorEastAsia" w:eastAsiaTheme="majorEastAsia"/>
          <w:b/>
          <w:sz w:val="28"/>
          <w:szCs w:val="28"/>
          <w:lang w:eastAsia="zh-CN"/>
        </w:rPr>
        <w:t>、</w:t>
      </w:r>
      <w:r>
        <w:rPr>
          <w:rFonts w:hint="eastAsia" w:asciiTheme="majorEastAsia" w:hAnsiTheme="majorEastAsia" w:eastAsiaTheme="majorEastAsia"/>
          <w:b/>
          <w:sz w:val="28"/>
          <w:szCs w:val="28"/>
        </w:rPr>
        <w:t>采标情况</w:t>
      </w:r>
    </w:p>
    <w:p w14:paraId="5AA0D556">
      <w:pPr>
        <w:ind w:firstLine="570"/>
        <w:jc w:val="left"/>
        <w:rPr>
          <w:rFonts w:hint="eastAsia" w:asciiTheme="minorEastAsia" w:hAnsiTheme="minorEastAsia"/>
          <w:sz w:val="28"/>
          <w:szCs w:val="28"/>
        </w:rPr>
      </w:pPr>
      <w:r>
        <w:rPr>
          <w:rFonts w:hint="eastAsia" w:asciiTheme="minorEastAsia" w:hAnsiTheme="minorEastAsia"/>
          <w:sz w:val="28"/>
          <w:szCs w:val="28"/>
        </w:rPr>
        <w:t>无。</w:t>
      </w:r>
    </w:p>
    <w:p w14:paraId="4C725504">
      <w:pPr>
        <w:pStyle w:val="5"/>
        <w:numPr>
          <w:ilvl w:val="0"/>
          <w:numId w:val="0"/>
        </w:numPr>
        <w:ind w:leftChars="0"/>
        <w:jc w:val="left"/>
        <w:outlineLvl w:val="0"/>
        <w:rPr>
          <w:rFonts w:hint="eastAsia" w:asciiTheme="majorEastAsia" w:hAnsiTheme="majorEastAsia" w:eastAsiaTheme="majorEastAsia"/>
          <w:b/>
          <w:sz w:val="28"/>
          <w:szCs w:val="28"/>
        </w:rPr>
      </w:pPr>
      <w:r>
        <w:rPr>
          <w:rFonts w:hint="eastAsia" w:asciiTheme="majorEastAsia" w:hAnsiTheme="majorEastAsia" w:eastAsiaTheme="majorEastAsia"/>
          <w:b/>
          <w:sz w:val="28"/>
          <w:szCs w:val="28"/>
          <w:lang w:val="en-US" w:eastAsia="zh-CN"/>
        </w:rPr>
        <w:t>七</w:t>
      </w:r>
      <w:r>
        <w:rPr>
          <w:rFonts w:hint="eastAsia" w:asciiTheme="majorEastAsia" w:hAnsiTheme="majorEastAsia" w:eastAsiaTheme="majorEastAsia"/>
          <w:b/>
          <w:sz w:val="28"/>
          <w:szCs w:val="28"/>
          <w:lang w:eastAsia="zh-CN"/>
        </w:rPr>
        <w:t>、</w:t>
      </w:r>
      <w:r>
        <w:rPr>
          <w:rFonts w:hint="eastAsia" w:asciiTheme="majorEastAsia" w:hAnsiTheme="majorEastAsia" w:eastAsiaTheme="majorEastAsia"/>
          <w:b/>
          <w:sz w:val="28"/>
          <w:szCs w:val="28"/>
        </w:rPr>
        <w:t>重大意见分歧的处理</w:t>
      </w:r>
    </w:p>
    <w:p w14:paraId="66398DE4">
      <w:pPr>
        <w:pStyle w:val="5"/>
        <w:numPr>
          <w:ilvl w:val="0"/>
          <w:numId w:val="0"/>
        </w:numPr>
        <w:ind w:leftChars="0" w:firstLine="561"/>
        <w:jc w:val="left"/>
        <w:rPr>
          <w:rFonts w:hint="eastAsia" w:asciiTheme="minorEastAsia" w:hAnsiTheme="minorEastAsia" w:cstheme="minorBidi"/>
          <w:kern w:val="2"/>
          <w:sz w:val="28"/>
          <w:szCs w:val="28"/>
          <w:lang w:val="en-US" w:eastAsia="zh-CN" w:bidi="ar-SA"/>
        </w:rPr>
      </w:pPr>
      <w:r>
        <w:rPr>
          <w:rFonts w:hint="eastAsia" w:asciiTheme="minorEastAsia" w:hAnsiTheme="minorEastAsia" w:cstheme="minorBidi"/>
          <w:kern w:val="2"/>
          <w:sz w:val="28"/>
          <w:szCs w:val="28"/>
          <w:lang w:val="en-US" w:eastAsia="zh-CN" w:bidi="ar-SA"/>
        </w:rPr>
        <w:t>无。</w:t>
      </w:r>
    </w:p>
    <w:p w14:paraId="7499F353">
      <w:pPr>
        <w:pStyle w:val="5"/>
        <w:numPr>
          <w:ilvl w:val="0"/>
          <w:numId w:val="0"/>
        </w:numPr>
        <w:jc w:val="left"/>
        <w:outlineLvl w:val="0"/>
        <w:rPr>
          <w:rFonts w:hint="eastAsia" w:asciiTheme="majorEastAsia" w:hAnsiTheme="majorEastAsia" w:eastAsiaTheme="majorEastAsia"/>
          <w:b/>
          <w:sz w:val="28"/>
          <w:szCs w:val="28"/>
        </w:rPr>
      </w:pPr>
      <w:r>
        <w:rPr>
          <w:rFonts w:hint="eastAsia" w:asciiTheme="majorEastAsia" w:hAnsiTheme="majorEastAsia" w:eastAsiaTheme="majorEastAsia"/>
          <w:b/>
          <w:sz w:val="28"/>
          <w:szCs w:val="28"/>
          <w:lang w:val="en-US" w:eastAsia="zh-CN"/>
        </w:rPr>
        <w:t>八</w:t>
      </w:r>
      <w:r>
        <w:rPr>
          <w:rFonts w:hint="eastAsia" w:asciiTheme="majorEastAsia" w:hAnsiTheme="majorEastAsia" w:eastAsiaTheme="majorEastAsia"/>
          <w:b/>
          <w:sz w:val="28"/>
          <w:szCs w:val="28"/>
          <w:lang w:eastAsia="zh-CN"/>
        </w:rPr>
        <w:t>、</w:t>
      </w:r>
      <w:r>
        <w:rPr>
          <w:rFonts w:hint="eastAsia" w:asciiTheme="majorEastAsia" w:hAnsiTheme="majorEastAsia" w:eastAsiaTheme="majorEastAsia"/>
          <w:b/>
          <w:sz w:val="28"/>
          <w:szCs w:val="28"/>
        </w:rPr>
        <w:t>标准性质的建议说明</w:t>
      </w:r>
    </w:p>
    <w:p w14:paraId="66F5D568">
      <w:pPr>
        <w:ind w:firstLine="570"/>
        <w:jc w:val="left"/>
        <w:rPr>
          <w:rFonts w:hint="eastAsia" w:asciiTheme="minorEastAsia" w:hAnsiTheme="minorEastAsia"/>
          <w:sz w:val="28"/>
          <w:szCs w:val="28"/>
        </w:rPr>
      </w:pPr>
      <w:r>
        <w:rPr>
          <w:rFonts w:hint="eastAsia" w:asciiTheme="minorEastAsia" w:hAnsiTheme="minorEastAsia"/>
          <w:sz w:val="28"/>
          <w:szCs w:val="28"/>
        </w:rPr>
        <w:t>建议审批发布为推荐性地方标准。</w:t>
      </w:r>
    </w:p>
    <w:p w14:paraId="6D8CBC7C">
      <w:pPr>
        <w:pStyle w:val="5"/>
        <w:numPr>
          <w:ilvl w:val="0"/>
          <w:numId w:val="0"/>
        </w:numPr>
        <w:ind w:leftChars="0"/>
        <w:jc w:val="left"/>
        <w:outlineLvl w:val="0"/>
        <w:rPr>
          <w:rFonts w:hint="eastAsia" w:asciiTheme="majorEastAsia" w:hAnsiTheme="majorEastAsia" w:eastAsiaTheme="majorEastAsia"/>
          <w:b/>
          <w:sz w:val="28"/>
          <w:szCs w:val="28"/>
        </w:rPr>
      </w:pPr>
      <w:r>
        <w:rPr>
          <w:rFonts w:hint="eastAsia" w:asciiTheme="majorEastAsia" w:hAnsiTheme="majorEastAsia" w:eastAsiaTheme="majorEastAsia"/>
          <w:b/>
          <w:sz w:val="28"/>
          <w:szCs w:val="28"/>
          <w:lang w:val="en-US" w:eastAsia="zh-CN"/>
        </w:rPr>
        <w:t>九</w:t>
      </w:r>
      <w:r>
        <w:rPr>
          <w:rFonts w:hint="eastAsia" w:asciiTheme="majorEastAsia" w:hAnsiTheme="majorEastAsia" w:eastAsiaTheme="majorEastAsia"/>
          <w:b/>
          <w:sz w:val="28"/>
          <w:szCs w:val="28"/>
          <w:lang w:eastAsia="zh-CN"/>
        </w:rPr>
        <w:t>、</w:t>
      </w:r>
      <w:r>
        <w:rPr>
          <w:rFonts w:hint="eastAsia" w:asciiTheme="majorEastAsia" w:hAnsiTheme="majorEastAsia" w:eastAsiaTheme="majorEastAsia"/>
          <w:b/>
          <w:sz w:val="28"/>
          <w:szCs w:val="28"/>
        </w:rPr>
        <w:t>其他应予说明的事项。</w:t>
      </w:r>
    </w:p>
    <w:p w14:paraId="00563206">
      <w:pPr>
        <w:pStyle w:val="5"/>
        <w:numPr>
          <w:ilvl w:val="0"/>
          <w:numId w:val="0"/>
        </w:numPr>
        <w:ind w:leftChars="0" w:firstLine="561"/>
        <w:jc w:val="left"/>
      </w:pPr>
      <w:r>
        <w:rPr>
          <w:rFonts w:hint="eastAsia" w:asciiTheme="minorEastAsia" w:hAnsiTheme="minorEastAsia" w:cstheme="minorBidi"/>
          <w:kern w:val="2"/>
          <w:sz w:val="28"/>
          <w:szCs w:val="28"/>
          <w:lang w:val="en-US" w:eastAsia="zh-CN" w:bidi="ar-SA"/>
        </w:rPr>
        <w:t>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gxNDEzOGNmOGFhMTAxYzJjNDI3OTBiYWJlZjUyYWUifQ=="/>
  </w:docVars>
  <w:rsids>
    <w:rsidRoot w:val="7274387B"/>
    <w:rsid w:val="000067BE"/>
    <w:rsid w:val="00AB55EA"/>
    <w:rsid w:val="00AE4B44"/>
    <w:rsid w:val="00E75912"/>
    <w:rsid w:val="01745E1C"/>
    <w:rsid w:val="0209367A"/>
    <w:rsid w:val="025F105A"/>
    <w:rsid w:val="02E71756"/>
    <w:rsid w:val="033E02CB"/>
    <w:rsid w:val="043C1095"/>
    <w:rsid w:val="04804DA9"/>
    <w:rsid w:val="04BE18D8"/>
    <w:rsid w:val="05257D03"/>
    <w:rsid w:val="05FD17DD"/>
    <w:rsid w:val="06624DB8"/>
    <w:rsid w:val="0707366D"/>
    <w:rsid w:val="071F5A3E"/>
    <w:rsid w:val="07334700"/>
    <w:rsid w:val="07BE58A3"/>
    <w:rsid w:val="087155EA"/>
    <w:rsid w:val="0A945983"/>
    <w:rsid w:val="0AC82E7F"/>
    <w:rsid w:val="0BA22D85"/>
    <w:rsid w:val="0BDC4F75"/>
    <w:rsid w:val="0C76767A"/>
    <w:rsid w:val="0CE220A0"/>
    <w:rsid w:val="0D231F35"/>
    <w:rsid w:val="0DD540FF"/>
    <w:rsid w:val="0E9D6A1E"/>
    <w:rsid w:val="0FDC3796"/>
    <w:rsid w:val="101441EF"/>
    <w:rsid w:val="101449A2"/>
    <w:rsid w:val="10223AA5"/>
    <w:rsid w:val="104D3EA6"/>
    <w:rsid w:val="10C3653C"/>
    <w:rsid w:val="11585461"/>
    <w:rsid w:val="117152AE"/>
    <w:rsid w:val="119D284A"/>
    <w:rsid w:val="12B01468"/>
    <w:rsid w:val="12E77662"/>
    <w:rsid w:val="13DE13B7"/>
    <w:rsid w:val="1406669C"/>
    <w:rsid w:val="143C5D9E"/>
    <w:rsid w:val="14475604"/>
    <w:rsid w:val="146F24B9"/>
    <w:rsid w:val="14EE7833"/>
    <w:rsid w:val="16144E38"/>
    <w:rsid w:val="161C2B3E"/>
    <w:rsid w:val="163A3304"/>
    <w:rsid w:val="16AD3EDB"/>
    <w:rsid w:val="16F9217B"/>
    <w:rsid w:val="173C3914"/>
    <w:rsid w:val="17412027"/>
    <w:rsid w:val="1747356A"/>
    <w:rsid w:val="178B70D8"/>
    <w:rsid w:val="18065614"/>
    <w:rsid w:val="18C50146"/>
    <w:rsid w:val="18F22EF8"/>
    <w:rsid w:val="19BC0EB3"/>
    <w:rsid w:val="19BD368D"/>
    <w:rsid w:val="19DB2033"/>
    <w:rsid w:val="1A037354"/>
    <w:rsid w:val="1B367845"/>
    <w:rsid w:val="1B48194D"/>
    <w:rsid w:val="1B6A6AF8"/>
    <w:rsid w:val="1B6C761E"/>
    <w:rsid w:val="1B91423F"/>
    <w:rsid w:val="1C1330DC"/>
    <w:rsid w:val="1C393484"/>
    <w:rsid w:val="1C845B6B"/>
    <w:rsid w:val="1D2A2715"/>
    <w:rsid w:val="1E7F5C52"/>
    <w:rsid w:val="1EA41AAC"/>
    <w:rsid w:val="1EA801FA"/>
    <w:rsid w:val="1ECA0BD8"/>
    <w:rsid w:val="1EFC4E94"/>
    <w:rsid w:val="1F46104C"/>
    <w:rsid w:val="1FCA320B"/>
    <w:rsid w:val="1FD852CA"/>
    <w:rsid w:val="20316620"/>
    <w:rsid w:val="203C26DB"/>
    <w:rsid w:val="208C75DF"/>
    <w:rsid w:val="20F32011"/>
    <w:rsid w:val="20F42494"/>
    <w:rsid w:val="22582E0D"/>
    <w:rsid w:val="22B049FB"/>
    <w:rsid w:val="231D5C76"/>
    <w:rsid w:val="233C1B97"/>
    <w:rsid w:val="237B2CFD"/>
    <w:rsid w:val="23C90FC1"/>
    <w:rsid w:val="251A0D67"/>
    <w:rsid w:val="252549A3"/>
    <w:rsid w:val="25543BC7"/>
    <w:rsid w:val="259F2ABF"/>
    <w:rsid w:val="262061CD"/>
    <w:rsid w:val="265956E8"/>
    <w:rsid w:val="2663151D"/>
    <w:rsid w:val="266523D9"/>
    <w:rsid w:val="26796C9B"/>
    <w:rsid w:val="26C61BC6"/>
    <w:rsid w:val="26E175C1"/>
    <w:rsid w:val="27E65575"/>
    <w:rsid w:val="27FE2AA0"/>
    <w:rsid w:val="285C318E"/>
    <w:rsid w:val="288145CF"/>
    <w:rsid w:val="291A0E0E"/>
    <w:rsid w:val="299528CE"/>
    <w:rsid w:val="2A294945"/>
    <w:rsid w:val="2A4026EA"/>
    <w:rsid w:val="2BB17E91"/>
    <w:rsid w:val="2BFF45FC"/>
    <w:rsid w:val="2C426185"/>
    <w:rsid w:val="2D260FFC"/>
    <w:rsid w:val="2DFD7400"/>
    <w:rsid w:val="2E690373"/>
    <w:rsid w:val="2E750AAC"/>
    <w:rsid w:val="2EA82D3F"/>
    <w:rsid w:val="2EEF4FBC"/>
    <w:rsid w:val="2F5C5100"/>
    <w:rsid w:val="2F7C7FA0"/>
    <w:rsid w:val="2FA479C3"/>
    <w:rsid w:val="2FB57DC2"/>
    <w:rsid w:val="303F4762"/>
    <w:rsid w:val="307107ED"/>
    <w:rsid w:val="30914093"/>
    <w:rsid w:val="30F50027"/>
    <w:rsid w:val="31255484"/>
    <w:rsid w:val="31345B74"/>
    <w:rsid w:val="319C5932"/>
    <w:rsid w:val="31D5738D"/>
    <w:rsid w:val="32812EF1"/>
    <w:rsid w:val="33E60509"/>
    <w:rsid w:val="343253D5"/>
    <w:rsid w:val="34A2355E"/>
    <w:rsid w:val="35074874"/>
    <w:rsid w:val="35554DB0"/>
    <w:rsid w:val="35F151C4"/>
    <w:rsid w:val="362464A3"/>
    <w:rsid w:val="37115C6B"/>
    <w:rsid w:val="37342ED8"/>
    <w:rsid w:val="37E55864"/>
    <w:rsid w:val="37E70E59"/>
    <w:rsid w:val="381846E7"/>
    <w:rsid w:val="38370C96"/>
    <w:rsid w:val="38551029"/>
    <w:rsid w:val="38E41416"/>
    <w:rsid w:val="393025FE"/>
    <w:rsid w:val="397E0A8E"/>
    <w:rsid w:val="39A068A7"/>
    <w:rsid w:val="39AA6AFA"/>
    <w:rsid w:val="39C763F9"/>
    <w:rsid w:val="39C801A3"/>
    <w:rsid w:val="39DB2B5A"/>
    <w:rsid w:val="3A667CB5"/>
    <w:rsid w:val="3A910C59"/>
    <w:rsid w:val="3B6E16BE"/>
    <w:rsid w:val="3B7E0690"/>
    <w:rsid w:val="3BC620B7"/>
    <w:rsid w:val="3BE417BC"/>
    <w:rsid w:val="3C802985"/>
    <w:rsid w:val="3CFD462C"/>
    <w:rsid w:val="3DB935C4"/>
    <w:rsid w:val="3E102AA8"/>
    <w:rsid w:val="3E2603C4"/>
    <w:rsid w:val="3E527B8F"/>
    <w:rsid w:val="3E8D6D78"/>
    <w:rsid w:val="3F846FC4"/>
    <w:rsid w:val="3FD94AE9"/>
    <w:rsid w:val="3FDF4446"/>
    <w:rsid w:val="3FED7CBE"/>
    <w:rsid w:val="401802B9"/>
    <w:rsid w:val="40442307"/>
    <w:rsid w:val="404C3E89"/>
    <w:rsid w:val="405B1421"/>
    <w:rsid w:val="41681B1C"/>
    <w:rsid w:val="417966BE"/>
    <w:rsid w:val="419B6C8A"/>
    <w:rsid w:val="425D3886"/>
    <w:rsid w:val="43444ED1"/>
    <w:rsid w:val="44975BC4"/>
    <w:rsid w:val="44AD477E"/>
    <w:rsid w:val="45117504"/>
    <w:rsid w:val="45630983"/>
    <w:rsid w:val="45AC6E51"/>
    <w:rsid w:val="464E71B3"/>
    <w:rsid w:val="469175C1"/>
    <w:rsid w:val="46BF5ED6"/>
    <w:rsid w:val="47463940"/>
    <w:rsid w:val="47527EFD"/>
    <w:rsid w:val="490742BF"/>
    <w:rsid w:val="490D7DCE"/>
    <w:rsid w:val="4AE0745B"/>
    <w:rsid w:val="4B730479"/>
    <w:rsid w:val="4BB17B8D"/>
    <w:rsid w:val="4C715C30"/>
    <w:rsid w:val="4CD86569"/>
    <w:rsid w:val="4E4C0C6F"/>
    <w:rsid w:val="4E714760"/>
    <w:rsid w:val="4EB26484"/>
    <w:rsid w:val="4EE54AF4"/>
    <w:rsid w:val="4F65220C"/>
    <w:rsid w:val="4F985176"/>
    <w:rsid w:val="500E2571"/>
    <w:rsid w:val="504432A8"/>
    <w:rsid w:val="507A2FCA"/>
    <w:rsid w:val="50B728FD"/>
    <w:rsid w:val="510C3F15"/>
    <w:rsid w:val="52E57F78"/>
    <w:rsid w:val="535E6D84"/>
    <w:rsid w:val="53755E42"/>
    <w:rsid w:val="5396661E"/>
    <w:rsid w:val="54D10CE9"/>
    <w:rsid w:val="552077FF"/>
    <w:rsid w:val="55897F74"/>
    <w:rsid w:val="565701EC"/>
    <w:rsid w:val="5761288F"/>
    <w:rsid w:val="57617AE9"/>
    <w:rsid w:val="579D4B86"/>
    <w:rsid w:val="58220A10"/>
    <w:rsid w:val="584D63DC"/>
    <w:rsid w:val="58852A72"/>
    <w:rsid w:val="58E10AA2"/>
    <w:rsid w:val="59203522"/>
    <w:rsid w:val="59BE52D5"/>
    <w:rsid w:val="59C83C5A"/>
    <w:rsid w:val="5AC42D90"/>
    <w:rsid w:val="5B16232B"/>
    <w:rsid w:val="5B667841"/>
    <w:rsid w:val="5BF92EA7"/>
    <w:rsid w:val="5CD22F77"/>
    <w:rsid w:val="5CEF0BAF"/>
    <w:rsid w:val="5D003A08"/>
    <w:rsid w:val="5DFD401C"/>
    <w:rsid w:val="5E421BCE"/>
    <w:rsid w:val="5E8240F9"/>
    <w:rsid w:val="5EC7034E"/>
    <w:rsid w:val="5FB87502"/>
    <w:rsid w:val="600F304C"/>
    <w:rsid w:val="6051343A"/>
    <w:rsid w:val="60593A1D"/>
    <w:rsid w:val="6066171C"/>
    <w:rsid w:val="60D445BD"/>
    <w:rsid w:val="60E143B9"/>
    <w:rsid w:val="6105113B"/>
    <w:rsid w:val="61147232"/>
    <w:rsid w:val="61FF4FED"/>
    <w:rsid w:val="62CD35A1"/>
    <w:rsid w:val="631B4289"/>
    <w:rsid w:val="642367F8"/>
    <w:rsid w:val="649B4CB3"/>
    <w:rsid w:val="67020289"/>
    <w:rsid w:val="67586C25"/>
    <w:rsid w:val="67735CF2"/>
    <w:rsid w:val="678859CE"/>
    <w:rsid w:val="67B178A9"/>
    <w:rsid w:val="67C56C82"/>
    <w:rsid w:val="67CF0E63"/>
    <w:rsid w:val="67DC4060"/>
    <w:rsid w:val="67E51855"/>
    <w:rsid w:val="68357B53"/>
    <w:rsid w:val="68E1015D"/>
    <w:rsid w:val="695D5F70"/>
    <w:rsid w:val="69952F60"/>
    <w:rsid w:val="69ED03AD"/>
    <w:rsid w:val="6A1F0EDA"/>
    <w:rsid w:val="6A44554D"/>
    <w:rsid w:val="6B092F2E"/>
    <w:rsid w:val="6B587417"/>
    <w:rsid w:val="6BC27D91"/>
    <w:rsid w:val="6C0712D3"/>
    <w:rsid w:val="6C3F2CB3"/>
    <w:rsid w:val="6C981280"/>
    <w:rsid w:val="6CC91A76"/>
    <w:rsid w:val="6D390FB4"/>
    <w:rsid w:val="6D41356D"/>
    <w:rsid w:val="6D9E244E"/>
    <w:rsid w:val="6EEE3491"/>
    <w:rsid w:val="6F290683"/>
    <w:rsid w:val="6F585C4A"/>
    <w:rsid w:val="6F5E453F"/>
    <w:rsid w:val="6F842F12"/>
    <w:rsid w:val="70167FA8"/>
    <w:rsid w:val="706A5589"/>
    <w:rsid w:val="7274387B"/>
    <w:rsid w:val="72A11573"/>
    <w:rsid w:val="73176EB9"/>
    <w:rsid w:val="737028D2"/>
    <w:rsid w:val="738C7303"/>
    <w:rsid w:val="739D12D5"/>
    <w:rsid w:val="73E00630"/>
    <w:rsid w:val="74163CD1"/>
    <w:rsid w:val="745436E0"/>
    <w:rsid w:val="74AC1EA9"/>
    <w:rsid w:val="74DD13A0"/>
    <w:rsid w:val="75312E46"/>
    <w:rsid w:val="753F0CDD"/>
    <w:rsid w:val="75C409A0"/>
    <w:rsid w:val="760359B6"/>
    <w:rsid w:val="7618758E"/>
    <w:rsid w:val="76513C1A"/>
    <w:rsid w:val="76553A80"/>
    <w:rsid w:val="76807F01"/>
    <w:rsid w:val="769A4521"/>
    <w:rsid w:val="7711040E"/>
    <w:rsid w:val="779D03F6"/>
    <w:rsid w:val="78944A96"/>
    <w:rsid w:val="78A56CCE"/>
    <w:rsid w:val="79BF0123"/>
    <w:rsid w:val="79DF3184"/>
    <w:rsid w:val="79E05155"/>
    <w:rsid w:val="7A316E7B"/>
    <w:rsid w:val="7A6E14EF"/>
    <w:rsid w:val="7A815E9B"/>
    <w:rsid w:val="7A9875CC"/>
    <w:rsid w:val="7AB71431"/>
    <w:rsid w:val="7BF06FC4"/>
    <w:rsid w:val="7C1D341F"/>
    <w:rsid w:val="7C7D1A28"/>
    <w:rsid w:val="7CA3526B"/>
    <w:rsid w:val="7CC04F15"/>
    <w:rsid w:val="7CC14709"/>
    <w:rsid w:val="7D4162A6"/>
    <w:rsid w:val="7DAB39DA"/>
    <w:rsid w:val="7E6A0988"/>
    <w:rsid w:val="7E6D459B"/>
    <w:rsid w:val="7EAD6B44"/>
    <w:rsid w:val="7EAE7B23"/>
    <w:rsid w:val="7ED82D99"/>
    <w:rsid w:val="7ED964EB"/>
    <w:rsid w:val="7EE97C81"/>
    <w:rsid w:val="7F137BA6"/>
    <w:rsid w:val="7FC615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eastAsia="Times New Roman" w:cs="Times New Roman"/>
      <w:sz w:val="20"/>
      <w:szCs w:val="20"/>
    </w:rPr>
    <w:tblPr>
      <w:tblCellMar>
        <w:top w:w="0" w:type="dxa"/>
        <w:left w:w="108" w:type="dxa"/>
        <w:bottom w:w="0" w:type="dxa"/>
        <w:right w:w="108" w:type="dxa"/>
      </w:tblCellMar>
    </w:tblPr>
  </w:style>
  <w:style w:type="paragraph" w:customStyle="1" w:styleId="4">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3792</Words>
  <Characters>3876</Characters>
  <Lines>0</Lines>
  <Paragraphs>0</Paragraphs>
  <TotalTime>0</TotalTime>
  <ScaleCrop>false</ScaleCrop>
  <LinksUpToDate>false</LinksUpToDate>
  <CharactersWithSpaces>3887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2021-08-30T08:29:00Z</dcterms:created>
  <dc:creator>123456</dc:creator>
  <cp:lastModifiedBy>Yang!</cp:lastModifiedBy>
  <dcterms:modified xsi:type="dcterms:W3CDTF">2025-01-17T09:53:43Z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74D924709F9F4927B953EF9BEB0A5003_13</vt:lpwstr>
  </property>
  <property fmtid="{D5CDD505-2E9C-101B-9397-08002B2CF9AE}" pid="4" name="KSOTemplateDocerSaveRecord">
    <vt:lpwstr>eyJoZGlkIjoiN2ViYWU1ZGJhYzA3N2FjNmI5ZWFkMjUwMmE2MTkxN2EiLCJ1c2VySWQiOiIzMTM0NzU3MzgifQ==</vt:lpwstr>
  </property>
</Properties>
</file>